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23581" w14:textId="77777777" w:rsidR="001A05D7" w:rsidRDefault="001A05D7" w:rsidP="001A05D7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579D0B2A" wp14:editId="3EC23C13">
            <wp:simplePos x="0" y="0"/>
            <wp:positionH relativeFrom="column">
              <wp:posOffset>1019810</wp:posOffset>
            </wp:positionH>
            <wp:positionV relativeFrom="paragraph">
              <wp:posOffset>-85090</wp:posOffset>
            </wp:positionV>
            <wp:extent cx="568960" cy="733425"/>
            <wp:effectExtent l="0" t="0" r="2540" b="9525"/>
            <wp:wrapTopAndBottom/>
            <wp:docPr id="1" name="Slika 1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0B7699" w14:textId="77777777" w:rsidR="001A05D7" w:rsidRDefault="001A05D7" w:rsidP="001A05D7">
      <w:pPr>
        <w:autoSpaceDE w:val="0"/>
        <w:autoSpaceDN w:val="0"/>
        <w:adjustRightInd w:val="0"/>
        <w:ind w:right="5103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R E P U B L I K A  H R V A T S K A</w:t>
      </w:r>
    </w:p>
    <w:p w14:paraId="2AD1922B" w14:textId="77777777" w:rsidR="001A05D7" w:rsidRDefault="001A05D7" w:rsidP="001A05D7">
      <w:pPr>
        <w:autoSpaceDE w:val="0"/>
        <w:autoSpaceDN w:val="0"/>
        <w:adjustRightInd w:val="0"/>
        <w:ind w:right="5103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PRIMORSKO-GORANSKA ŽUPANIJA</w:t>
      </w:r>
    </w:p>
    <w:p w14:paraId="44E13325" w14:textId="77777777" w:rsidR="001A05D7" w:rsidRDefault="001A05D7" w:rsidP="001A05D7">
      <w:pPr>
        <w:autoSpaceDE w:val="0"/>
        <w:autoSpaceDN w:val="0"/>
        <w:adjustRightInd w:val="0"/>
        <w:ind w:right="5103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GRAD KRALJEVICA</w:t>
      </w:r>
    </w:p>
    <w:p w14:paraId="0E73DCC6" w14:textId="77777777" w:rsidR="001A05D7" w:rsidRDefault="001A05D7" w:rsidP="001A05D7">
      <w:pPr>
        <w:autoSpaceDE w:val="0"/>
        <w:autoSpaceDN w:val="0"/>
        <w:adjustRightInd w:val="0"/>
        <w:ind w:right="5103"/>
        <w:jc w:val="center"/>
        <w:rPr>
          <w:rFonts w:cs="Arial"/>
          <w:bCs/>
          <w:spacing w:val="40"/>
          <w:sz w:val="22"/>
          <w:szCs w:val="22"/>
        </w:rPr>
      </w:pPr>
      <w:r>
        <w:rPr>
          <w:rFonts w:cs="Arial"/>
          <w:bCs/>
          <w:spacing w:val="40"/>
          <w:sz w:val="22"/>
          <w:szCs w:val="22"/>
        </w:rPr>
        <w:t>GRADONAČELNIK</w:t>
      </w:r>
    </w:p>
    <w:p w14:paraId="0DE9529A" w14:textId="77777777" w:rsidR="001A05D7" w:rsidRDefault="001A05D7" w:rsidP="001A05D7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4B129A0A" w14:textId="137346CE" w:rsidR="001A05D7" w:rsidRDefault="001A05D7" w:rsidP="001A05D7">
      <w:pPr>
        <w:tabs>
          <w:tab w:val="left" w:pos="993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KLASA:</w:t>
      </w:r>
      <w:r>
        <w:rPr>
          <w:color w:val="000000" w:themeColor="text1"/>
          <w:sz w:val="22"/>
          <w:szCs w:val="22"/>
        </w:rPr>
        <w:tab/>
        <w:t xml:space="preserve"> </w:t>
      </w:r>
      <w:r w:rsidR="002A60C0">
        <w:rPr>
          <w:color w:val="000000" w:themeColor="text1"/>
          <w:sz w:val="22"/>
          <w:szCs w:val="22"/>
        </w:rPr>
        <w:t>363-01/25-01/50</w:t>
      </w:r>
    </w:p>
    <w:p w14:paraId="23AC3F09" w14:textId="0BDFCDB4" w:rsidR="001A05D7" w:rsidRDefault="001A05D7" w:rsidP="001A05D7">
      <w:pPr>
        <w:tabs>
          <w:tab w:val="left" w:pos="993"/>
        </w:tabs>
        <w:spacing w:after="12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URBROJ:</w:t>
      </w:r>
      <w:r>
        <w:rPr>
          <w:color w:val="000000" w:themeColor="text1"/>
          <w:sz w:val="22"/>
          <w:szCs w:val="22"/>
        </w:rPr>
        <w:tab/>
        <w:t xml:space="preserve"> </w:t>
      </w:r>
      <w:r w:rsidR="00676970">
        <w:rPr>
          <w:color w:val="000000" w:themeColor="text1"/>
          <w:sz w:val="22"/>
          <w:szCs w:val="22"/>
        </w:rPr>
        <w:t>2170</w:t>
      </w:r>
      <w:r w:rsidR="00F44A62">
        <w:rPr>
          <w:color w:val="000000" w:themeColor="text1"/>
          <w:sz w:val="22"/>
          <w:szCs w:val="22"/>
        </w:rPr>
        <w:t>-</w:t>
      </w:r>
      <w:r w:rsidR="00676970">
        <w:rPr>
          <w:color w:val="000000" w:themeColor="text1"/>
          <w:sz w:val="22"/>
          <w:szCs w:val="22"/>
        </w:rPr>
        <w:t>8-01-</w:t>
      </w:r>
      <w:r w:rsidR="00F44A62">
        <w:rPr>
          <w:color w:val="000000" w:themeColor="text1"/>
          <w:sz w:val="22"/>
          <w:szCs w:val="22"/>
        </w:rPr>
        <w:t>25</w:t>
      </w:r>
      <w:r w:rsidR="00676970">
        <w:rPr>
          <w:color w:val="000000" w:themeColor="text1"/>
          <w:sz w:val="22"/>
          <w:szCs w:val="22"/>
        </w:rPr>
        <w:t>-</w:t>
      </w:r>
      <w:r w:rsidR="002A60C0">
        <w:rPr>
          <w:color w:val="000000" w:themeColor="text1"/>
          <w:sz w:val="22"/>
          <w:szCs w:val="22"/>
        </w:rPr>
        <w:t>3</w:t>
      </w:r>
    </w:p>
    <w:p w14:paraId="21FB0819" w14:textId="107DD7F4" w:rsidR="001A05D7" w:rsidRDefault="001A05D7" w:rsidP="001A05D7">
      <w:pPr>
        <w:tabs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 xml:space="preserve">Kraljevica, </w:t>
      </w:r>
      <w:r w:rsidR="00F44A62">
        <w:rPr>
          <w:sz w:val="22"/>
          <w:szCs w:val="22"/>
        </w:rPr>
        <w:t>1</w:t>
      </w:r>
      <w:r w:rsidR="002A60C0">
        <w:rPr>
          <w:sz w:val="22"/>
          <w:szCs w:val="22"/>
        </w:rPr>
        <w:t>9</w:t>
      </w:r>
      <w:r w:rsidR="00676970">
        <w:rPr>
          <w:sz w:val="22"/>
          <w:szCs w:val="22"/>
        </w:rPr>
        <w:t xml:space="preserve">. </w:t>
      </w:r>
      <w:r w:rsidR="002A60C0">
        <w:rPr>
          <w:sz w:val="22"/>
          <w:szCs w:val="22"/>
        </w:rPr>
        <w:t>studenog</w:t>
      </w:r>
      <w:r w:rsidR="00676970">
        <w:rPr>
          <w:sz w:val="22"/>
          <w:szCs w:val="22"/>
        </w:rPr>
        <w:t xml:space="preserve"> 20</w:t>
      </w:r>
      <w:r w:rsidR="00F44A62">
        <w:rPr>
          <w:sz w:val="22"/>
          <w:szCs w:val="22"/>
        </w:rPr>
        <w:t>25</w:t>
      </w:r>
      <w:r w:rsidR="00676970">
        <w:rPr>
          <w:sz w:val="22"/>
          <w:szCs w:val="22"/>
        </w:rPr>
        <w:t>.</w:t>
      </w:r>
    </w:p>
    <w:p w14:paraId="36727A07" w14:textId="77777777" w:rsidR="001A05D7" w:rsidRDefault="001A05D7" w:rsidP="001A05D7">
      <w:pPr>
        <w:pStyle w:val="Bezproreda"/>
        <w:ind w:left="4536"/>
        <w:jc w:val="center"/>
        <w:rPr>
          <w:rFonts w:ascii="Arial" w:hAnsi="Arial" w:cs="Arial"/>
          <w:b/>
        </w:rPr>
      </w:pPr>
    </w:p>
    <w:p w14:paraId="60C03B4D" w14:textId="77777777" w:rsidR="001A05D7" w:rsidRDefault="001A05D7" w:rsidP="001A05D7">
      <w:pPr>
        <w:pStyle w:val="Bezproreda"/>
        <w:ind w:left="340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GRADSKOM VIJEĆU GRADA KRALJEVICE</w:t>
      </w:r>
    </w:p>
    <w:p w14:paraId="49AFF43B" w14:textId="77777777" w:rsidR="001A05D7" w:rsidRDefault="001A05D7" w:rsidP="001A05D7">
      <w:pPr>
        <w:jc w:val="both"/>
        <w:rPr>
          <w:rFonts w:cs="Arial"/>
          <w:sz w:val="22"/>
          <w:szCs w:val="22"/>
        </w:rPr>
      </w:pPr>
    </w:p>
    <w:p w14:paraId="7E394D8D" w14:textId="3F45DC2A" w:rsidR="001A05D7" w:rsidRDefault="001A05D7" w:rsidP="00CD2B37">
      <w:pPr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Temeljem članka 44. </w:t>
      </w:r>
      <w:r w:rsidR="00F44A62" w:rsidRPr="00F44A62">
        <w:rPr>
          <w:rFonts w:cs="Arial"/>
          <w:sz w:val="22"/>
          <w:szCs w:val="22"/>
        </w:rPr>
        <w:t>stavka 6. alineje 22.</w:t>
      </w:r>
      <w:r w:rsidR="00F44A6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Statuta Grada Kraljevice („Službene novine Grada Kraljevice“ </w:t>
      </w:r>
      <w:r w:rsidR="00F44A62" w:rsidRPr="00F44A62">
        <w:rPr>
          <w:rFonts w:cs="Arial"/>
          <w:sz w:val="22"/>
          <w:szCs w:val="22"/>
        </w:rPr>
        <w:t>broj 4/14, 5/14 – ispravak Statuta, 5/15, 4/16, 1/18, 3/18 – pročišćeni tekst, 1/20, 4/20 – pročišćeni tekst i 2/21</w:t>
      </w:r>
      <w:r>
        <w:rPr>
          <w:rFonts w:cs="Arial"/>
          <w:sz w:val="22"/>
          <w:szCs w:val="22"/>
        </w:rPr>
        <w:t>) Gradskom vijeću Grada Kraljevice dostavljam na usvajanje</w:t>
      </w:r>
    </w:p>
    <w:p w14:paraId="77611D6B" w14:textId="77777777" w:rsidR="001A05D7" w:rsidRDefault="001A05D7" w:rsidP="001A05D7">
      <w:pPr>
        <w:tabs>
          <w:tab w:val="left" w:pos="1080"/>
        </w:tabs>
        <w:jc w:val="both"/>
        <w:rPr>
          <w:rFonts w:cs="Arial"/>
          <w:sz w:val="22"/>
          <w:szCs w:val="22"/>
        </w:rPr>
      </w:pPr>
    </w:p>
    <w:p w14:paraId="63B2942B" w14:textId="3E94E189" w:rsidR="001A05D7" w:rsidRDefault="001A05D7" w:rsidP="001A05D7">
      <w:pPr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prijedlog Odluke </w:t>
      </w:r>
      <w:r w:rsidR="00433CAB" w:rsidRPr="00433CAB">
        <w:rPr>
          <w:rFonts w:cs="Arial"/>
          <w:b/>
          <w:bCs/>
          <w:sz w:val="22"/>
          <w:szCs w:val="22"/>
        </w:rPr>
        <w:t xml:space="preserve">o </w:t>
      </w:r>
      <w:r w:rsidR="00473158">
        <w:rPr>
          <w:rFonts w:cs="Arial"/>
          <w:b/>
          <w:bCs/>
          <w:sz w:val="22"/>
          <w:szCs w:val="22"/>
        </w:rPr>
        <w:t>komunalnoj naknadi</w:t>
      </w:r>
    </w:p>
    <w:p w14:paraId="54EB3107" w14:textId="77777777" w:rsidR="001A05D7" w:rsidRPr="001A05D7" w:rsidRDefault="001A05D7" w:rsidP="001A05D7">
      <w:pPr>
        <w:spacing w:line="264" w:lineRule="auto"/>
        <w:jc w:val="both"/>
        <w:rPr>
          <w:b/>
          <w:sz w:val="22"/>
          <w:szCs w:val="22"/>
          <w:lang w:val="de-DE"/>
        </w:rPr>
      </w:pPr>
    </w:p>
    <w:p w14:paraId="5F111D8A" w14:textId="2828A5A6" w:rsidR="009A4FA2" w:rsidRPr="00F44A62" w:rsidRDefault="00F44A62" w:rsidP="00F44A62">
      <w:pPr>
        <w:spacing w:after="160"/>
        <w:rPr>
          <w:rFonts w:cs="Arial"/>
          <w:b/>
          <w:bCs/>
          <w:sz w:val="22"/>
          <w:szCs w:val="22"/>
        </w:rPr>
      </w:pPr>
      <w:r w:rsidRPr="00F44A62">
        <w:rPr>
          <w:rFonts w:cs="Arial"/>
          <w:b/>
          <w:bCs/>
          <w:sz w:val="22"/>
          <w:szCs w:val="22"/>
        </w:rPr>
        <w:t>PRAVNA OSNOVA ZA DONOŠENJE AKTA</w:t>
      </w:r>
    </w:p>
    <w:p w14:paraId="0389E2F4" w14:textId="77777777" w:rsidR="00473158" w:rsidRPr="00473158" w:rsidRDefault="00F44A62" w:rsidP="00473158">
      <w:pPr>
        <w:ind w:firstLine="708"/>
        <w:jc w:val="both"/>
        <w:rPr>
          <w:rFonts w:cs="Arial"/>
          <w:sz w:val="22"/>
          <w:szCs w:val="22"/>
        </w:rPr>
      </w:pPr>
      <w:r w:rsidRPr="00F44A62">
        <w:rPr>
          <w:rFonts w:cs="Arial"/>
          <w:sz w:val="22"/>
          <w:szCs w:val="22"/>
        </w:rPr>
        <w:t xml:space="preserve">Pravna osnova za donošenje akta sadržan je u članku </w:t>
      </w:r>
      <w:r>
        <w:rPr>
          <w:rFonts w:cs="Arial"/>
          <w:sz w:val="22"/>
          <w:szCs w:val="22"/>
        </w:rPr>
        <w:t>9</w:t>
      </w:r>
      <w:r w:rsidR="00473158">
        <w:rPr>
          <w:rFonts w:cs="Arial"/>
          <w:sz w:val="22"/>
          <w:szCs w:val="22"/>
        </w:rPr>
        <w:t>5</w:t>
      </w:r>
      <w:r w:rsidRPr="00F44A62">
        <w:rPr>
          <w:rFonts w:cs="Arial"/>
          <w:sz w:val="22"/>
          <w:szCs w:val="22"/>
        </w:rPr>
        <w:t>. stavku 1. Zakona o</w:t>
      </w:r>
      <w:r>
        <w:rPr>
          <w:rFonts w:cs="Arial"/>
          <w:sz w:val="22"/>
          <w:szCs w:val="22"/>
        </w:rPr>
        <w:t xml:space="preserve"> komunalnom gospodarstvu</w:t>
      </w:r>
      <w:r w:rsidRPr="00F44A62">
        <w:rPr>
          <w:rFonts w:cs="Arial"/>
          <w:sz w:val="22"/>
          <w:szCs w:val="22"/>
        </w:rPr>
        <w:t xml:space="preserve"> („Narodne novine“ broj 68/18, 110/18 - Odluka USRH, 32/20 i 145/24</w:t>
      </w:r>
      <w:r w:rsidR="003014DE">
        <w:rPr>
          <w:rFonts w:cs="Arial"/>
          <w:sz w:val="22"/>
          <w:szCs w:val="22"/>
        </w:rPr>
        <w:t xml:space="preserve"> – u nastavku ZKG</w:t>
      </w:r>
      <w:r w:rsidRPr="00F44A62">
        <w:rPr>
          <w:rFonts w:cs="Arial"/>
          <w:sz w:val="22"/>
          <w:szCs w:val="22"/>
        </w:rPr>
        <w:t xml:space="preserve">) i članka 30. stavka 1. podstavka 24. Statuta Grada Kraljevice („Službene novine Grada Kraljevice“ broj 4/14, 5/14, 5/15, 4/16, 1/18, 3/18 – pročišćeni tekst, 1/20, 4/20 – pročišćeni tekst i 2/21). Člankom </w:t>
      </w:r>
      <w:r>
        <w:rPr>
          <w:rFonts w:cs="Arial"/>
          <w:sz w:val="22"/>
          <w:szCs w:val="22"/>
        </w:rPr>
        <w:t>9</w:t>
      </w:r>
      <w:r w:rsidR="00473158">
        <w:rPr>
          <w:rFonts w:cs="Arial"/>
          <w:sz w:val="22"/>
          <w:szCs w:val="22"/>
        </w:rPr>
        <w:t>5</w:t>
      </w:r>
      <w:r w:rsidRPr="00F44A62">
        <w:rPr>
          <w:rFonts w:cs="Arial"/>
          <w:sz w:val="22"/>
          <w:szCs w:val="22"/>
        </w:rPr>
        <w:t>.</w:t>
      </w:r>
      <w:r w:rsidR="00473158">
        <w:rPr>
          <w:rFonts w:cs="Arial"/>
          <w:sz w:val="22"/>
          <w:szCs w:val="22"/>
        </w:rPr>
        <w:t xml:space="preserve"> stavkom 1.</w:t>
      </w:r>
      <w:r w:rsidRPr="00F44A62">
        <w:rPr>
          <w:rFonts w:cs="Arial"/>
          <w:sz w:val="22"/>
          <w:szCs w:val="22"/>
        </w:rPr>
        <w:t xml:space="preserve"> </w:t>
      </w:r>
      <w:r w:rsidR="003014DE">
        <w:rPr>
          <w:rFonts w:cs="Arial"/>
          <w:sz w:val="22"/>
          <w:szCs w:val="22"/>
        </w:rPr>
        <w:t>ZKG-a</w:t>
      </w:r>
      <w:r>
        <w:rPr>
          <w:rFonts w:cs="Arial"/>
          <w:sz w:val="22"/>
          <w:szCs w:val="22"/>
        </w:rPr>
        <w:t xml:space="preserve"> propisano je da predstavničko tijelo </w:t>
      </w:r>
      <w:r w:rsidRPr="00F44A62">
        <w:rPr>
          <w:rFonts w:cs="Arial"/>
          <w:sz w:val="22"/>
          <w:szCs w:val="22"/>
        </w:rPr>
        <w:t xml:space="preserve">jedinice lokalne samouprave </w:t>
      </w:r>
      <w:r w:rsidR="00473158" w:rsidRPr="00473158">
        <w:rPr>
          <w:rFonts w:cs="Arial"/>
          <w:sz w:val="22"/>
          <w:szCs w:val="22"/>
        </w:rPr>
        <w:t>donosi odluku o komunalnoj naknadi kojom se određuju:</w:t>
      </w:r>
    </w:p>
    <w:p w14:paraId="7F0E60D7" w14:textId="343F4207" w:rsidR="00473158" w:rsidRPr="00473158" w:rsidRDefault="00473158" w:rsidP="00473158">
      <w:pPr>
        <w:ind w:left="709" w:hanging="283"/>
        <w:jc w:val="both"/>
        <w:rPr>
          <w:rFonts w:cs="Arial"/>
          <w:sz w:val="22"/>
          <w:szCs w:val="22"/>
        </w:rPr>
      </w:pPr>
      <w:r w:rsidRPr="00473158">
        <w:rPr>
          <w:rFonts w:cs="Arial"/>
          <w:sz w:val="22"/>
          <w:szCs w:val="22"/>
        </w:rPr>
        <w:t>1. područja zona u jedinici lokalne samouprave u kojima</w:t>
      </w:r>
      <w:r>
        <w:rPr>
          <w:rFonts w:cs="Arial"/>
          <w:sz w:val="22"/>
          <w:szCs w:val="22"/>
        </w:rPr>
        <w:t xml:space="preserve"> </w:t>
      </w:r>
      <w:r w:rsidRPr="00473158">
        <w:rPr>
          <w:rFonts w:cs="Arial"/>
          <w:sz w:val="22"/>
          <w:szCs w:val="22"/>
        </w:rPr>
        <w:t>se naplaćuje komunalna naknada</w:t>
      </w:r>
    </w:p>
    <w:p w14:paraId="2FA92454" w14:textId="72FC4BF3" w:rsidR="00473158" w:rsidRPr="00473158" w:rsidRDefault="00473158" w:rsidP="00473158">
      <w:pPr>
        <w:ind w:left="709" w:hanging="283"/>
        <w:jc w:val="both"/>
        <w:rPr>
          <w:rFonts w:cs="Arial"/>
          <w:sz w:val="22"/>
          <w:szCs w:val="22"/>
        </w:rPr>
      </w:pPr>
      <w:r w:rsidRPr="00473158">
        <w:rPr>
          <w:rFonts w:cs="Arial"/>
          <w:sz w:val="22"/>
          <w:szCs w:val="22"/>
        </w:rPr>
        <w:t>2. koe</w:t>
      </w:r>
      <w:r>
        <w:rPr>
          <w:rFonts w:cs="Arial"/>
          <w:sz w:val="22"/>
          <w:szCs w:val="22"/>
        </w:rPr>
        <w:t>fi</w:t>
      </w:r>
      <w:r w:rsidRPr="00473158">
        <w:rPr>
          <w:rFonts w:cs="Arial"/>
          <w:sz w:val="22"/>
          <w:szCs w:val="22"/>
        </w:rPr>
        <w:t>cijent zone (</w:t>
      </w:r>
      <w:proofErr w:type="spellStart"/>
      <w:r w:rsidRPr="00473158">
        <w:rPr>
          <w:rFonts w:cs="Arial"/>
          <w:sz w:val="22"/>
          <w:szCs w:val="22"/>
        </w:rPr>
        <w:t>Kz</w:t>
      </w:r>
      <w:proofErr w:type="spellEnd"/>
      <w:r w:rsidRPr="00473158">
        <w:rPr>
          <w:rFonts w:cs="Arial"/>
          <w:sz w:val="22"/>
          <w:szCs w:val="22"/>
        </w:rPr>
        <w:t>) za pojedine zone u jedinici lokalne</w:t>
      </w:r>
      <w:r>
        <w:rPr>
          <w:rFonts w:cs="Arial"/>
          <w:sz w:val="22"/>
          <w:szCs w:val="22"/>
        </w:rPr>
        <w:t xml:space="preserve"> </w:t>
      </w:r>
      <w:r w:rsidRPr="00473158">
        <w:rPr>
          <w:rFonts w:cs="Arial"/>
          <w:sz w:val="22"/>
          <w:szCs w:val="22"/>
        </w:rPr>
        <w:t>samouprave u kojima se naplaćuje komunalna naknada</w:t>
      </w:r>
    </w:p>
    <w:p w14:paraId="5DDB70F3" w14:textId="4F08CAAD" w:rsidR="00473158" w:rsidRPr="00473158" w:rsidRDefault="00473158" w:rsidP="00473158">
      <w:pPr>
        <w:ind w:left="709" w:hanging="283"/>
        <w:jc w:val="both"/>
        <w:rPr>
          <w:rFonts w:cs="Arial"/>
          <w:sz w:val="22"/>
          <w:szCs w:val="22"/>
        </w:rPr>
      </w:pPr>
      <w:r w:rsidRPr="00473158">
        <w:rPr>
          <w:rFonts w:cs="Arial"/>
          <w:sz w:val="22"/>
          <w:szCs w:val="22"/>
        </w:rPr>
        <w:t>3. koe</w:t>
      </w:r>
      <w:r>
        <w:rPr>
          <w:rFonts w:cs="Arial"/>
          <w:sz w:val="22"/>
          <w:szCs w:val="22"/>
        </w:rPr>
        <w:t>fi</w:t>
      </w:r>
      <w:r w:rsidRPr="00473158">
        <w:rPr>
          <w:rFonts w:cs="Arial"/>
          <w:sz w:val="22"/>
          <w:szCs w:val="22"/>
        </w:rPr>
        <w:t>cijent namjene (Kn) za nekretnine za koje se plaća</w:t>
      </w:r>
      <w:r>
        <w:rPr>
          <w:rFonts w:cs="Arial"/>
          <w:sz w:val="22"/>
          <w:szCs w:val="22"/>
        </w:rPr>
        <w:t xml:space="preserve"> </w:t>
      </w:r>
      <w:r w:rsidRPr="00473158">
        <w:rPr>
          <w:rFonts w:cs="Arial"/>
          <w:sz w:val="22"/>
          <w:szCs w:val="22"/>
        </w:rPr>
        <w:t>komunalna naknada</w:t>
      </w:r>
    </w:p>
    <w:p w14:paraId="46890354" w14:textId="77777777" w:rsidR="00473158" w:rsidRPr="00473158" w:rsidRDefault="00473158" w:rsidP="00473158">
      <w:pPr>
        <w:ind w:left="709" w:hanging="283"/>
        <w:jc w:val="both"/>
        <w:rPr>
          <w:rFonts w:cs="Arial"/>
          <w:sz w:val="22"/>
          <w:szCs w:val="22"/>
        </w:rPr>
      </w:pPr>
      <w:r w:rsidRPr="00473158">
        <w:rPr>
          <w:rFonts w:cs="Arial"/>
          <w:sz w:val="22"/>
          <w:szCs w:val="22"/>
        </w:rPr>
        <w:t>4. rok plaćanja komunalne naknade</w:t>
      </w:r>
    </w:p>
    <w:p w14:paraId="6FCF0958" w14:textId="3110C231" w:rsidR="00473158" w:rsidRPr="00473158" w:rsidRDefault="00473158" w:rsidP="00473158">
      <w:pPr>
        <w:ind w:left="709" w:hanging="283"/>
        <w:jc w:val="both"/>
        <w:rPr>
          <w:rFonts w:cs="Arial"/>
          <w:sz w:val="22"/>
          <w:szCs w:val="22"/>
        </w:rPr>
      </w:pPr>
      <w:r w:rsidRPr="00473158">
        <w:rPr>
          <w:rFonts w:cs="Arial"/>
          <w:sz w:val="22"/>
          <w:szCs w:val="22"/>
        </w:rPr>
        <w:t>5. nekretnine važne za jedinicu lokalne samouprave koje</w:t>
      </w:r>
      <w:r>
        <w:rPr>
          <w:rFonts w:cs="Arial"/>
          <w:sz w:val="22"/>
          <w:szCs w:val="22"/>
        </w:rPr>
        <w:t xml:space="preserve"> </w:t>
      </w:r>
      <w:r w:rsidRPr="00473158">
        <w:rPr>
          <w:rFonts w:cs="Arial"/>
          <w:sz w:val="22"/>
          <w:szCs w:val="22"/>
        </w:rPr>
        <w:t>se u potpunosti ili djelomično oslobađaju od plaćanja</w:t>
      </w:r>
      <w:r>
        <w:rPr>
          <w:rFonts w:cs="Arial"/>
          <w:sz w:val="22"/>
          <w:szCs w:val="22"/>
        </w:rPr>
        <w:t xml:space="preserve"> </w:t>
      </w:r>
      <w:r w:rsidRPr="00473158">
        <w:rPr>
          <w:rFonts w:cs="Arial"/>
          <w:sz w:val="22"/>
          <w:szCs w:val="22"/>
        </w:rPr>
        <w:t>komunalne naknade</w:t>
      </w:r>
    </w:p>
    <w:p w14:paraId="0B81608B" w14:textId="0CC6DA7D" w:rsidR="00F44A62" w:rsidRDefault="00473158" w:rsidP="00473158">
      <w:pPr>
        <w:ind w:left="709" w:hanging="283"/>
        <w:jc w:val="both"/>
        <w:rPr>
          <w:rFonts w:cs="Arial"/>
          <w:sz w:val="22"/>
          <w:szCs w:val="22"/>
        </w:rPr>
      </w:pPr>
      <w:r w:rsidRPr="00473158">
        <w:rPr>
          <w:rFonts w:cs="Arial"/>
          <w:sz w:val="22"/>
          <w:szCs w:val="22"/>
        </w:rPr>
        <w:t>6. opći uvjeti i razlozi zbog kojih se u pojedinačnim</w:t>
      </w:r>
      <w:r>
        <w:rPr>
          <w:rFonts w:cs="Arial"/>
          <w:sz w:val="22"/>
          <w:szCs w:val="22"/>
        </w:rPr>
        <w:t xml:space="preserve"> </w:t>
      </w:r>
      <w:r w:rsidRPr="00473158">
        <w:rPr>
          <w:rFonts w:cs="Arial"/>
          <w:sz w:val="22"/>
          <w:szCs w:val="22"/>
        </w:rPr>
        <w:t>slučajevima odobrava djelomično ili potpuno oslobađanje</w:t>
      </w:r>
      <w:r>
        <w:rPr>
          <w:rFonts w:cs="Arial"/>
          <w:sz w:val="22"/>
          <w:szCs w:val="22"/>
        </w:rPr>
        <w:t xml:space="preserve"> </w:t>
      </w:r>
      <w:r w:rsidRPr="00473158">
        <w:rPr>
          <w:rFonts w:cs="Arial"/>
          <w:sz w:val="22"/>
          <w:szCs w:val="22"/>
        </w:rPr>
        <w:t>od plaćanja komunalne naknade.</w:t>
      </w:r>
    </w:p>
    <w:p w14:paraId="1CE16D01" w14:textId="77777777" w:rsidR="00F44A62" w:rsidRDefault="00F44A62" w:rsidP="00500333">
      <w:pPr>
        <w:ind w:firstLine="708"/>
        <w:jc w:val="both"/>
        <w:rPr>
          <w:rFonts w:cs="Arial"/>
          <w:sz w:val="22"/>
          <w:szCs w:val="22"/>
        </w:rPr>
      </w:pPr>
    </w:p>
    <w:p w14:paraId="43D8FB89" w14:textId="1AD2FFA6" w:rsidR="00F44A62" w:rsidRPr="00E629E5" w:rsidRDefault="00E629E5" w:rsidP="00E629E5">
      <w:pPr>
        <w:spacing w:after="160"/>
        <w:rPr>
          <w:rFonts w:cs="Arial"/>
          <w:b/>
          <w:bCs/>
          <w:sz w:val="22"/>
          <w:szCs w:val="22"/>
        </w:rPr>
      </w:pPr>
      <w:r w:rsidRPr="00E629E5">
        <w:rPr>
          <w:rFonts w:cs="Arial"/>
          <w:b/>
          <w:bCs/>
          <w:sz w:val="22"/>
          <w:szCs w:val="22"/>
        </w:rPr>
        <w:t>OSNOVNA PITANJA I PRIKAZ STANJA KOJE SE UREĐUJE AKTOM</w:t>
      </w:r>
    </w:p>
    <w:p w14:paraId="55CCA1CB" w14:textId="3345F028" w:rsidR="00473158" w:rsidRDefault="00473158" w:rsidP="00066F30">
      <w:pPr>
        <w:spacing w:after="160"/>
        <w:ind w:firstLine="709"/>
        <w:jc w:val="both"/>
        <w:rPr>
          <w:rFonts w:cs="Arial"/>
          <w:sz w:val="22"/>
          <w:szCs w:val="22"/>
        </w:rPr>
      </w:pPr>
      <w:r w:rsidRPr="00473158">
        <w:rPr>
          <w:rFonts w:cs="Arial"/>
          <w:sz w:val="22"/>
          <w:szCs w:val="22"/>
        </w:rPr>
        <w:t>Gradsko vijeće Grada Kraljevice je 20</w:t>
      </w:r>
      <w:r>
        <w:rPr>
          <w:rFonts w:cs="Arial"/>
          <w:sz w:val="22"/>
          <w:szCs w:val="22"/>
        </w:rPr>
        <w:t>18</w:t>
      </w:r>
      <w:r w:rsidRPr="00473158">
        <w:rPr>
          <w:rFonts w:cs="Arial"/>
          <w:sz w:val="22"/>
          <w:szCs w:val="22"/>
        </w:rPr>
        <w:t xml:space="preserve">. godine donijelo Odluku o komunalnoj naknadi („Službene novine </w:t>
      </w:r>
      <w:r>
        <w:rPr>
          <w:rFonts w:cs="Arial"/>
          <w:sz w:val="22"/>
          <w:szCs w:val="22"/>
        </w:rPr>
        <w:t>Grada Kraljevice</w:t>
      </w:r>
      <w:r w:rsidRPr="00473158">
        <w:rPr>
          <w:rFonts w:cs="Arial"/>
          <w:sz w:val="22"/>
          <w:szCs w:val="22"/>
        </w:rPr>
        <w:t xml:space="preserve">“ broj </w:t>
      </w:r>
      <w:r>
        <w:rPr>
          <w:rFonts w:cs="Arial"/>
          <w:sz w:val="22"/>
          <w:szCs w:val="22"/>
        </w:rPr>
        <w:t>7/18</w:t>
      </w:r>
      <w:r w:rsidRPr="00473158">
        <w:rPr>
          <w:rFonts w:cs="Arial"/>
          <w:sz w:val="22"/>
          <w:szCs w:val="22"/>
        </w:rPr>
        <w:t xml:space="preserve">) sukladno </w:t>
      </w:r>
      <w:r>
        <w:rPr>
          <w:rFonts w:cs="Arial"/>
          <w:sz w:val="22"/>
          <w:szCs w:val="22"/>
        </w:rPr>
        <w:t xml:space="preserve">novom </w:t>
      </w:r>
      <w:r w:rsidRPr="00473158">
        <w:rPr>
          <w:rFonts w:cs="Arial"/>
          <w:sz w:val="22"/>
          <w:szCs w:val="22"/>
        </w:rPr>
        <w:t xml:space="preserve">Zakonu o komunalnom gospodarstvu. </w:t>
      </w:r>
      <w:r w:rsidR="00CF7220">
        <w:rPr>
          <w:rFonts w:cs="Arial"/>
          <w:sz w:val="22"/>
          <w:szCs w:val="22"/>
        </w:rPr>
        <w:t xml:space="preserve">Zatim je 2019. godine donijelo  </w:t>
      </w:r>
      <w:r w:rsidRPr="00473158">
        <w:rPr>
          <w:rFonts w:cs="Arial"/>
          <w:sz w:val="22"/>
          <w:szCs w:val="22"/>
        </w:rPr>
        <w:t>Odluk</w:t>
      </w:r>
      <w:r w:rsidR="00CF7220">
        <w:rPr>
          <w:rFonts w:cs="Arial"/>
          <w:sz w:val="22"/>
          <w:szCs w:val="22"/>
        </w:rPr>
        <w:t>u</w:t>
      </w:r>
      <w:r w:rsidRPr="00473158">
        <w:rPr>
          <w:rFonts w:cs="Arial"/>
          <w:sz w:val="22"/>
          <w:szCs w:val="22"/>
        </w:rPr>
        <w:t xml:space="preserve"> o izmjenama Odluke o komunalnoj naknadi („Službene novine </w:t>
      </w:r>
      <w:r w:rsidR="00CF7220">
        <w:rPr>
          <w:rFonts w:cs="Arial"/>
          <w:sz w:val="22"/>
          <w:szCs w:val="22"/>
        </w:rPr>
        <w:t>Grada Kraljevice</w:t>
      </w:r>
      <w:r w:rsidRPr="00473158">
        <w:rPr>
          <w:rFonts w:cs="Arial"/>
          <w:sz w:val="22"/>
          <w:szCs w:val="22"/>
        </w:rPr>
        <w:t xml:space="preserve">“ broj </w:t>
      </w:r>
      <w:r w:rsidR="00CF7220">
        <w:rPr>
          <w:rFonts w:cs="Arial"/>
          <w:sz w:val="22"/>
          <w:szCs w:val="22"/>
        </w:rPr>
        <w:t>9/19</w:t>
      </w:r>
      <w:r w:rsidRPr="00473158">
        <w:rPr>
          <w:rFonts w:cs="Arial"/>
          <w:sz w:val="22"/>
          <w:szCs w:val="22"/>
        </w:rPr>
        <w:t>).</w:t>
      </w:r>
    </w:p>
    <w:p w14:paraId="18737B3F" w14:textId="45AEAECC" w:rsidR="0042703D" w:rsidRDefault="009920C7" w:rsidP="0042703D">
      <w:pPr>
        <w:spacing w:after="160"/>
        <w:ind w:firstLine="709"/>
        <w:jc w:val="both"/>
        <w:rPr>
          <w:rFonts w:cs="Arial"/>
          <w:sz w:val="22"/>
          <w:szCs w:val="22"/>
        </w:rPr>
      </w:pPr>
      <w:r w:rsidRPr="009920C7">
        <w:rPr>
          <w:rFonts w:cs="Arial"/>
          <w:sz w:val="22"/>
          <w:szCs w:val="22"/>
        </w:rPr>
        <w:t>U prijedlogu nove Odluke o komunalnoj naknadi uglavnom su zadržane odredbe iz stare odluke</w:t>
      </w:r>
      <w:r w:rsidR="006A6198">
        <w:rPr>
          <w:rFonts w:cs="Arial"/>
          <w:sz w:val="22"/>
          <w:szCs w:val="22"/>
        </w:rPr>
        <w:t xml:space="preserve">, međutim zbog lakšeg praćenja Odluke svrsishodnije i preglednije je usvojiti novu </w:t>
      </w:r>
      <w:r w:rsidR="00F45139">
        <w:rPr>
          <w:rFonts w:cs="Arial"/>
          <w:sz w:val="22"/>
          <w:szCs w:val="22"/>
        </w:rPr>
        <w:t>O</w:t>
      </w:r>
      <w:r w:rsidR="006A6198">
        <w:rPr>
          <w:rFonts w:cs="Arial"/>
          <w:sz w:val="22"/>
          <w:szCs w:val="22"/>
        </w:rPr>
        <w:t>dluku</w:t>
      </w:r>
      <w:r w:rsidRPr="009920C7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>Područja zona te koeficijent zone (</w:t>
      </w:r>
      <w:proofErr w:type="spellStart"/>
      <w:r>
        <w:rPr>
          <w:rFonts w:cs="Arial"/>
          <w:sz w:val="22"/>
          <w:szCs w:val="22"/>
        </w:rPr>
        <w:t>Kz</w:t>
      </w:r>
      <w:proofErr w:type="spellEnd"/>
      <w:r>
        <w:rPr>
          <w:rFonts w:cs="Arial"/>
          <w:sz w:val="22"/>
          <w:szCs w:val="22"/>
        </w:rPr>
        <w:t>) nisu mijenjani, i</w:t>
      </w:r>
      <w:r w:rsidRPr="009920C7">
        <w:rPr>
          <w:rFonts w:cs="Arial"/>
          <w:sz w:val="22"/>
          <w:szCs w:val="22"/>
        </w:rPr>
        <w:t xml:space="preserve"> dalje ostaju dvije zone </w:t>
      </w:r>
      <w:r>
        <w:rPr>
          <w:rFonts w:cs="Arial"/>
          <w:sz w:val="22"/>
          <w:szCs w:val="22"/>
        </w:rPr>
        <w:t>s</w:t>
      </w:r>
      <w:r w:rsidRPr="009920C7">
        <w:rPr>
          <w:rFonts w:cs="Arial"/>
          <w:sz w:val="22"/>
          <w:szCs w:val="22"/>
        </w:rPr>
        <w:t xml:space="preserve"> ist</w:t>
      </w:r>
      <w:r>
        <w:rPr>
          <w:rFonts w:cs="Arial"/>
          <w:sz w:val="22"/>
          <w:szCs w:val="22"/>
        </w:rPr>
        <w:t>im</w:t>
      </w:r>
      <w:r w:rsidRPr="009920C7">
        <w:rPr>
          <w:rFonts w:cs="Arial"/>
          <w:sz w:val="22"/>
          <w:szCs w:val="22"/>
        </w:rPr>
        <w:t xml:space="preserve"> područj</w:t>
      </w:r>
      <w:r>
        <w:rPr>
          <w:rFonts w:cs="Arial"/>
          <w:sz w:val="22"/>
          <w:szCs w:val="22"/>
        </w:rPr>
        <w:t>em</w:t>
      </w:r>
      <w:r w:rsidRPr="009920C7">
        <w:rPr>
          <w:rFonts w:cs="Arial"/>
          <w:sz w:val="22"/>
          <w:szCs w:val="22"/>
        </w:rPr>
        <w:t xml:space="preserve"> njihov</w:t>
      </w:r>
      <w:r>
        <w:rPr>
          <w:rFonts w:cs="Arial"/>
          <w:sz w:val="22"/>
          <w:szCs w:val="22"/>
        </w:rPr>
        <w:t>a</w:t>
      </w:r>
      <w:r w:rsidRPr="009920C7">
        <w:rPr>
          <w:rFonts w:cs="Arial"/>
          <w:sz w:val="22"/>
          <w:szCs w:val="22"/>
        </w:rPr>
        <w:t xml:space="preserve"> obuhvata.</w:t>
      </w:r>
      <w:r>
        <w:rPr>
          <w:rFonts w:cs="Arial"/>
          <w:sz w:val="22"/>
          <w:szCs w:val="22"/>
        </w:rPr>
        <w:t xml:space="preserve"> Koeficijent namjene (Kn) također nije mijenjan te je ostao u visini propisanoj aktualnom Odlukom o komunalnoj naknadi, jedino su nazivi vrsta djelatnosti </w:t>
      </w:r>
      <w:r w:rsidR="00F53E8E">
        <w:rPr>
          <w:rFonts w:cs="Arial"/>
          <w:sz w:val="22"/>
          <w:szCs w:val="22"/>
        </w:rPr>
        <w:t>u tablici usklađeni s Odlukom o nacionalnoj klasifikaciji djelatnosti 2025. – NKD 2025. („Narodne novine“ broj 47/2024), koja je na snazi od 1. siječnja 2025. godine.</w:t>
      </w:r>
    </w:p>
    <w:p w14:paraId="481F713F" w14:textId="3313CF1B" w:rsidR="0042703D" w:rsidRDefault="0042703D" w:rsidP="0042703D">
      <w:pPr>
        <w:spacing w:after="160"/>
        <w:ind w:firstLine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Izbačene su iz Odluke odredbe koje su propisane ZKG-om, a koje se odnose na umanjenje koeficijenta namjene (Kn) za </w:t>
      </w:r>
      <w:r w:rsidRPr="0042703D">
        <w:rPr>
          <w:rFonts w:cs="Arial"/>
          <w:sz w:val="22"/>
          <w:szCs w:val="22"/>
        </w:rPr>
        <w:t xml:space="preserve">poslovni prostor i građevinsko zemljište koje služi </w:t>
      </w:r>
      <w:r w:rsidRPr="0042703D">
        <w:rPr>
          <w:rFonts w:cs="Arial"/>
          <w:sz w:val="22"/>
          <w:szCs w:val="22"/>
        </w:rPr>
        <w:lastRenderedPageBreak/>
        <w:t>obavljanju poslovne djelatnosti, kad se poslovna djelatnost ne obavlja više od šest mjeseci u kalendarskoj godini</w:t>
      </w:r>
      <w:r w:rsidR="002E587C">
        <w:rPr>
          <w:rFonts w:cs="Arial"/>
          <w:sz w:val="22"/>
          <w:szCs w:val="22"/>
        </w:rPr>
        <w:t xml:space="preserve">. Izbačene su i odredbe o načinu utvrđivanja visine komunalne naknade za </w:t>
      </w:r>
      <w:r w:rsidR="002E587C" w:rsidRPr="002E587C">
        <w:rPr>
          <w:rFonts w:cs="Arial"/>
          <w:sz w:val="22"/>
          <w:szCs w:val="22"/>
        </w:rPr>
        <w:t>hotele, apartmanska naselja i kampove</w:t>
      </w:r>
      <w:r w:rsidR="002E587C">
        <w:rPr>
          <w:rFonts w:cs="Arial"/>
          <w:sz w:val="22"/>
          <w:szCs w:val="22"/>
        </w:rPr>
        <w:t>, a koje su također propisane ZKG-om.</w:t>
      </w:r>
    </w:p>
    <w:p w14:paraId="3D38D41A" w14:textId="7473283F" w:rsidR="00D04D00" w:rsidRDefault="00D04D00" w:rsidP="0042703D">
      <w:pPr>
        <w:spacing w:after="160"/>
        <w:ind w:firstLine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Rokovi plaćanja zadržani su iz aktualne Odluke, pa je tako propisano kvartalno plaćanje k</w:t>
      </w:r>
      <w:r w:rsidRPr="00D04D00">
        <w:rPr>
          <w:rFonts w:cs="Arial"/>
          <w:sz w:val="22"/>
          <w:szCs w:val="22"/>
        </w:rPr>
        <w:t>omunaln</w:t>
      </w:r>
      <w:r>
        <w:rPr>
          <w:rFonts w:cs="Arial"/>
          <w:sz w:val="22"/>
          <w:szCs w:val="22"/>
        </w:rPr>
        <w:t>e</w:t>
      </w:r>
      <w:r w:rsidRPr="00D04D00">
        <w:rPr>
          <w:rFonts w:cs="Arial"/>
          <w:sz w:val="22"/>
          <w:szCs w:val="22"/>
        </w:rPr>
        <w:t xml:space="preserve"> naknad</w:t>
      </w:r>
      <w:r>
        <w:rPr>
          <w:rFonts w:cs="Arial"/>
          <w:sz w:val="22"/>
          <w:szCs w:val="22"/>
        </w:rPr>
        <w:t>e</w:t>
      </w:r>
      <w:r w:rsidRPr="00D04D00">
        <w:rPr>
          <w:rFonts w:cs="Arial"/>
          <w:sz w:val="22"/>
          <w:szCs w:val="22"/>
        </w:rPr>
        <w:t xml:space="preserve"> za stambeni i garažni prostor</w:t>
      </w:r>
      <w:r>
        <w:rPr>
          <w:rFonts w:cs="Arial"/>
          <w:sz w:val="22"/>
          <w:szCs w:val="22"/>
        </w:rPr>
        <w:t xml:space="preserve"> te mjesečno plaćanje </w:t>
      </w:r>
      <w:r w:rsidRPr="00D04D00">
        <w:rPr>
          <w:rFonts w:cs="Arial"/>
          <w:sz w:val="22"/>
          <w:szCs w:val="22"/>
        </w:rPr>
        <w:t>za poslovni prostor i građevinsko zemljište koje služi obavljanju poslovne djelatnosti</w:t>
      </w:r>
      <w:r w:rsidR="00F21A95">
        <w:rPr>
          <w:rFonts w:cs="Arial"/>
          <w:sz w:val="22"/>
          <w:szCs w:val="22"/>
        </w:rPr>
        <w:t>.</w:t>
      </w:r>
    </w:p>
    <w:p w14:paraId="479BBFFC" w14:textId="029797D9" w:rsidR="00D125A7" w:rsidRDefault="00F21A95" w:rsidP="0042703D">
      <w:pPr>
        <w:spacing w:after="160"/>
        <w:ind w:firstLine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Što se tiče oslobađanja od plaćanja komunalne naknade, usklađene su odredbe oslobađanja za vlasnike ili korisnike stambenog prostora </w:t>
      </w:r>
      <w:r w:rsidRPr="00F21A95">
        <w:rPr>
          <w:rFonts w:cs="Arial"/>
          <w:sz w:val="22"/>
          <w:szCs w:val="22"/>
        </w:rPr>
        <w:t>koji ostvaruju pravo na mjesečnu novčanu naknadu za troškove stanovanja s</w:t>
      </w:r>
      <w:r>
        <w:rPr>
          <w:rFonts w:cs="Arial"/>
          <w:sz w:val="22"/>
          <w:szCs w:val="22"/>
        </w:rPr>
        <w:t xml:space="preserve"> novom Odlukom o socijalnoj skrbi Grada Kraljevice.</w:t>
      </w:r>
      <w:r w:rsidR="00E37A59">
        <w:rPr>
          <w:rFonts w:cs="Arial"/>
          <w:sz w:val="22"/>
          <w:szCs w:val="22"/>
        </w:rPr>
        <w:t xml:space="preserve"> </w:t>
      </w:r>
      <w:r w:rsidR="00D125A7">
        <w:rPr>
          <w:rFonts w:cs="Arial"/>
          <w:sz w:val="22"/>
          <w:szCs w:val="22"/>
        </w:rPr>
        <w:t xml:space="preserve">Za djelomično oslobađanje od plaćanja komunalne naknade izbačena je odredba da u pojedinim slučajevima gradonačelnik može svojom odlukom </w:t>
      </w:r>
      <w:r w:rsidR="00D125A7" w:rsidRPr="00D125A7">
        <w:rPr>
          <w:rFonts w:cs="Arial"/>
          <w:sz w:val="22"/>
          <w:szCs w:val="22"/>
        </w:rPr>
        <w:t>djelomično osloboditi obveznika plaćanja</w:t>
      </w:r>
      <w:r w:rsidR="00D125A7">
        <w:rPr>
          <w:rFonts w:cs="Arial"/>
          <w:sz w:val="22"/>
          <w:szCs w:val="22"/>
        </w:rPr>
        <w:t xml:space="preserve"> komunalne naknade. Uvjeti za djelomično oslobađanje jasno su propisani novom Odlukom.</w:t>
      </w:r>
    </w:p>
    <w:p w14:paraId="4E727F5B" w14:textId="3C830791" w:rsidR="00584239" w:rsidRDefault="00584239" w:rsidP="00D761D9">
      <w:pPr>
        <w:spacing w:after="160"/>
        <w:ind w:firstLine="709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Slijedom svega navedenoga, predlaže se Gradskom vijeću donijeti Odluku </w:t>
      </w:r>
      <w:r w:rsidR="009424CC" w:rsidRPr="009424CC">
        <w:rPr>
          <w:rFonts w:cs="Arial"/>
          <w:color w:val="000000" w:themeColor="text1"/>
          <w:sz w:val="22"/>
          <w:szCs w:val="22"/>
        </w:rPr>
        <w:t xml:space="preserve">o </w:t>
      </w:r>
      <w:r w:rsidR="00660C67">
        <w:rPr>
          <w:rFonts w:cs="Arial"/>
          <w:color w:val="000000" w:themeColor="text1"/>
          <w:sz w:val="22"/>
          <w:szCs w:val="22"/>
        </w:rPr>
        <w:t>komunalnoj naknadi</w:t>
      </w:r>
      <w:r>
        <w:rPr>
          <w:rFonts w:cs="Arial"/>
          <w:color w:val="000000" w:themeColor="text1"/>
          <w:sz w:val="22"/>
          <w:szCs w:val="22"/>
        </w:rPr>
        <w:t>.</w:t>
      </w:r>
    </w:p>
    <w:p w14:paraId="0FD74346" w14:textId="77777777" w:rsidR="00CD2B37" w:rsidRPr="007F27BD" w:rsidRDefault="00CD2B37" w:rsidP="00CD2B37">
      <w:pPr>
        <w:spacing w:after="160" w:line="259" w:lineRule="auto"/>
        <w:rPr>
          <w:rFonts w:eastAsia="Calibri" w:cs="Arial"/>
          <w:b/>
          <w:bCs/>
          <w:sz w:val="22"/>
          <w:szCs w:val="22"/>
          <w:lang w:eastAsia="en-US"/>
        </w:rPr>
      </w:pPr>
      <w:r w:rsidRPr="007F27BD">
        <w:rPr>
          <w:rFonts w:eastAsia="Calibri" w:cs="Arial"/>
          <w:b/>
          <w:bCs/>
          <w:sz w:val="22"/>
          <w:szCs w:val="22"/>
          <w:lang w:eastAsia="en-US"/>
        </w:rPr>
        <w:t>TEKST PRIJEDLOGA AKTA</w:t>
      </w:r>
    </w:p>
    <w:p w14:paraId="503C928B" w14:textId="56BEAD55" w:rsidR="00CD2B37" w:rsidRPr="007F27BD" w:rsidRDefault="00CD2B37" w:rsidP="00CD2B37">
      <w:pPr>
        <w:spacing w:after="160" w:line="259" w:lineRule="auto"/>
        <w:jc w:val="both"/>
        <w:rPr>
          <w:rFonts w:eastAsia="Calibri" w:cs="Arial"/>
          <w:sz w:val="22"/>
          <w:szCs w:val="22"/>
          <w:lang w:eastAsia="en-US"/>
        </w:rPr>
      </w:pPr>
      <w:r w:rsidRPr="007F27BD">
        <w:rPr>
          <w:rFonts w:eastAsia="Calibri" w:cs="Arial"/>
          <w:sz w:val="22"/>
          <w:szCs w:val="22"/>
          <w:lang w:eastAsia="en-US"/>
        </w:rPr>
        <w:t xml:space="preserve">Tekst prijedloga </w:t>
      </w:r>
      <w:r>
        <w:rPr>
          <w:rFonts w:eastAsia="Calibri" w:cs="Arial"/>
          <w:sz w:val="22"/>
          <w:szCs w:val="22"/>
          <w:lang w:eastAsia="en-US"/>
        </w:rPr>
        <w:t>Odluke o komunaln</w:t>
      </w:r>
      <w:r w:rsidR="006C1A98">
        <w:rPr>
          <w:rFonts w:eastAsia="Calibri" w:cs="Arial"/>
          <w:sz w:val="22"/>
          <w:szCs w:val="22"/>
          <w:lang w:eastAsia="en-US"/>
        </w:rPr>
        <w:t>oj</w:t>
      </w:r>
      <w:r>
        <w:rPr>
          <w:rFonts w:eastAsia="Calibri" w:cs="Arial"/>
          <w:sz w:val="22"/>
          <w:szCs w:val="22"/>
          <w:lang w:eastAsia="en-US"/>
        </w:rPr>
        <w:t xml:space="preserve"> naknad</w:t>
      </w:r>
      <w:r w:rsidR="006C1A98">
        <w:rPr>
          <w:rFonts w:eastAsia="Calibri" w:cs="Arial"/>
          <w:sz w:val="22"/>
          <w:szCs w:val="22"/>
          <w:lang w:eastAsia="en-US"/>
        </w:rPr>
        <w:t>i</w:t>
      </w:r>
      <w:r w:rsidRPr="007F27BD">
        <w:rPr>
          <w:rFonts w:eastAsia="Calibri" w:cs="Arial"/>
          <w:sz w:val="22"/>
          <w:szCs w:val="22"/>
          <w:lang w:eastAsia="en-US"/>
        </w:rPr>
        <w:t xml:space="preserve"> dostavljen </w:t>
      </w:r>
      <w:r>
        <w:rPr>
          <w:rFonts w:eastAsia="Calibri" w:cs="Arial"/>
          <w:sz w:val="22"/>
          <w:szCs w:val="22"/>
          <w:lang w:eastAsia="en-US"/>
        </w:rPr>
        <w:t>je</w:t>
      </w:r>
      <w:r w:rsidRPr="007F27BD">
        <w:rPr>
          <w:rFonts w:eastAsia="Calibri" w:cs="Arial"/>
          <w:sz w:val="22"/>
          <w:szCs w:val="22"/>
          <w:lang w:eastAsia="en-US"/>
        </w:rPr>
        <w:t xml:space="preserve"> u prilogu.</w:t>
      </w:r>
    </w:p>
    <w:p w14:paraId="3ECECE97" w14:textId="77777777" w:rsidR="00CD2B37" w:rsidRPr="007F27BD" w:rsidRDefault="00CD2B37" w:rsidP="00CD2B37">
      <w:pPr>
        <w:spacing w:after="160" w:line="259" w:lineRule="auto"/>
        <w:rPr>
          <w:rFonts w:eastAsia="Calibri" w:cs="Arial"/>
          <w:b/>
          <w:bCs/>
          <w:sz w:val="22"/>
          <w:szCs w:val="22"/>
          <w:lang w:eastAsia="en-US"/>
        </w:rPr>
      </w:pPr>
      <w:r w:rsidRPr="007F27BD">
        <w:rPr>
          <w:rFonts w:eastAsia="Calibri" w:cs="Arial"/>
          <w:b/>
          <w:bCs/>
          <w:sz w:val="22"/>
          <w:szCs w:val="22"/>
          <w:lang w:eastAsia="en-US"/>
        </w:rPr>
        <w:t>FINANCIJSKA SREDSTVA POTREBNA ZA PROVEDBU AKTA</w:t>
      </w:r>
    </w:p>
    <w:p w14:paraId="1ED84682" w14:textId="33BC7DF9" w:rsidR="00CD2B37" w:rsidRPr="007F27BD" w:rsidRDefault="00CD2B37" w:rsidP="00CD2B37">
      <w:pPr>
        <w:spacing w:after="160" w:line="259" w:lineRule="auto"/>
        <w:rPr>
          <w:rFonts w:eastAsia="Calibri" w:cs="Arial"/>
          <w:sz w:val="22"/>
          <w:szCs w:val="22"/>
          <w:lang w:eastAsia="en-US"/>
        </w:rPr>
      </w:pPr>
      <w:r w:rsidRPr="007F27BD">
        <w:rPr>
          <w:rFonts w:eastAsia="Calibri" w:cs="Arial"/>
          <w:sz w:val="22"/>
          <w:szCs w:val="22"/>
          <w:lang w:eastAsia="en-US"/>
        </w:rPr>
        <w:t>Za realizaciju ov</w:t>
      </w:r>
      <w:r>
        <w:rPr>
          <w:rFonts w:eastAsia="Calibri" w:cs="Arial"/>
          <w:sz w:val="22"/>
          <w:szCs w:val="22"/>
          <w:lang w:eastAsia="en-US"/>
        </w:rPr>
        <w:t>e odluke</w:t>
      </w:r>
      <w:r w:rsidRPr="007F27BD">
        <w:rPr>
          <w:rFonts w:eastAsia="Calibri" w:cs="Arial"/>
          <w:sz w:val="22"/>
          <w:szCs w:val="22"/>
          <w:lang w:eastAsia="en-US"/>
        </w:rPr>
        <w:t xml:space="preserve"> nisu potrebna financijska sredstva.</w:t>
      </w:r>
    </w:p>
    <w:p w14:paraId="6A159FEC" w14:textId="77777777" w:rsidR="00CD2B37" w:rsidRPr="007F27BD" w:rsidRDefault="00CD2B37" w:rsidP="00CD2B37">
      <w:pPr>
        <w:spacing w:after="160" w:line="259" w:lineRule="auto"/>
        <w:ind w:left="360"/>
        <w:jc w:val="both"/>
        <w:rPr>
          <w:rFonts w:eastAsia="Calibri" w:cs="Arial"/>
          <w:sz w:val="22"/>
          <w:szCs w:val="22"/>
          <w:lang w:eastAsia="en-US"/>
        </w:rPr>
      </w:pPr>
    </w:p>
    <w:p w14:paraId="5AA51180" w14:textId="77777777" w:rsidR="00CD2B37" w:rsidRPr="007F27BD" w:rsidRDefault="00CD2B37" w:rsidP="00CD2B37">
      <w:pPr>
        <w:spacing w:after="160" w:line="259" w:lineRule="auto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099D4381" w14:textId="77777777" w:rsidR="00CD2B37" w:rsidRPr="007F27BD" w:rsidRDefault="00CD2B37" w:rsidP="00CD2B37">
      <w:pPr>
        <w:spacing w:line="0" w:lineRule="atLeast"/>
        <w:ind w:left="4536"/>
        <w:jc w:val="center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GRADONAČELNIK</w:t>
      </w:r>
    </w:p>
    <w:p w14:paraId="713363D5" w14:textId="66511778" w:rsidR="00CD2B37" w:rsidRDefault="00CD2B37" w:rsidP="00CD2B37">
      <w:pPr>
        <w:spacing w:line="0" w:lineRule="atLeast"/>
        <w:ind w:left="4536"/>
        <w:jc w:val="center"/>
        <w:rPr>
          <w:rFonts w:eastAsia="Calibri" w:cs="Arial"/>
          <w:sz w:val="22"/>
          <w:szCs w:val="22"/>
          <w:lang w:eastAsia="en-US"/>
        </w:rPr>
      </w:pPr>
      <w:r w:rsidRPr="007F27BD">
        <w:rPr>
          <w:rFonts w:eastAsia="Calibri" w:cs="Arial"/>
          <w:sz w:val="22"/>
          <w:szCs w:val="22"/>
          <w:lang w:eastAsia="en-US"/>
        </w:rPr>
        <w:t>Dalibor Čandrlić</w:t>
      </w:r>
      <w:r w:rsidR="00B05B98">
        <w:rPr>
          <w:rFonts w:eastAsia="Calibri" w:cs="Arial"/>
          <w:sz w:val="22"/>
          <w:szCs w:val="22"/>
          <w:lang w:eastAsia="en-US"/>
        </w:rPr>
        <w:t>, v.r.</w:t>
      </w:r>
    </w:p>
    <w:p w14:paraId="21306C3A" w14:textId="77777777" w:rsidR="00B05B98" w:rsidRPr="00B05B98" w:rsidRDefault="00B05B98" w:rsidP="00B05B98">
      <w:pPr>
        <w:spacing w:after="120" w:line="264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br w:type="page"/>
      </w:r>
      <w:r w:rsidRPr="00B05B98">
        <w:rPr>
          <w:rFonts w:eastAsia="Calibri" w:cs="Arial"/>
          <w:sz w:val="22"/>
          <w:szCs w:val="22"/>
          <w:lang w:eastAsia="en-US"/>
        </w:rPr>
        <w:lastRenderedPageBreak/>
        <w:t>Na temelju članka 95. stavka 1. Zakona o komunalnom gospodarstvu („Narodne novine“ broj 68/18, 110/18 - Odluka USRH, 32/20 i 145/24) i članka 30. stavka 1. podstavka 24. Statuta Grada Kraljevice („Službene novine Grada Kraljevice“ broj 4/14, 5/14 – ispravak Statuta, 5/15, 4/16, 1/18, 3/18 – pročišćeni tekst, 1/20, 4/20 – pročišćeni tekst i 2/21), Gradsko vijeće Grada Kraljevice na sjednici održanoj dana __________________ 2025. godine donosi</w:t>
      </w:r>
    </w:p>
    <w:p w14:paraId="59B49EAC" w14:textId="77777777" w:rsidR="00B05B98" w:rsidRPr="00B05B98" w:rsidRDefault="00B05B98" w:rsidP="00B05B98">
      <w:pPr>
        <w:spacing w:after="120" w:line="264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</w:p>
    <w:p w14:paraId="01380FC5" w14:textId="77777777" w:rsidR="00B05B98" w:rsidRPr="00B05B98" w:rsidRDefault="00B05B98" w:rsidP="00B05B98">
      <w:pPr>
        <w:spacing w:after="120" w:line="264" w:lineRule="auto"/>
        <w:contextualSpacing/>
        <w:jc w:val="center"/>
        <w:rPr>
          <w:rFonts w:eastAsia="Calibri" w:cs="Arial"/>
          <w:b/>
          <w:szCs w:val="24"/>
          <w:lang w:eastAsia="en-US"/>
        </w:rPr>
      </w:pPr>
      <w:r w:rsidRPr="00B05B98">
        <w:rPr>
          <w:rFonts w:eastAsia="Calibri" w:cs="Arial"/>
          <w:b/>
          <w:szCs w:val="24"/>
          <w:lang w:eastAsia="en-US"/>
        </w:rPr>
        <w:t>O D L U K U</w:t>
      </w:r>
    </w:p>
    <w:p w14:paraId="5EC19F87" w14:textId="77777777" w:rsidR="00B05B98" w:rsidRPr="00B05B98" w:rsidRDefault="00B05B98" w:rsidP="00B05B98">
      <w:pPr>
        <w:spacing w:after="240" w:line="264" w:lineRule="auto"/>
        <w:jc w:val="center"/>
        <w:rPr>
          <w:rFonts w:eastAsia="Calibri" w:cs="Arial"/>
          <w:b/>
          <w:szCs w:val="24"/>
          <w:lang w:eastAsia="en-US"/>
        </w:rPr>
      </w:pPr>
      <w:r w:rsidRPr="00B05B98">
        <w:rPr>
          <w:rFonts w:eastAsia="Calibri" w:cs="Arial"/>
          <w:b/>
          <w:szCs w:val="24"/>
          <w:lang w:eastAsia="en-US"/>
        </w:rPr>
        <w:t>o komunalnoj naknadi</w:t>
      </w:r>
    </w:p>
    <w:p w14:paraId="4511E944" w14:textId="77777777" w:rsidR="00B05B98" w:rsidRPr="00B05B98" w:rsidRDefault="00B05B98" w:rsidP="00B05B98">
      <w:pPr>
        <w:numPr>
          <w:ilvl w:val="0"/>
          <w:numId w:val="1"/>
        </w:numPr>
        <w:spacing w:before="240" w:after="120" w:line="264" w:lineRule="auto"/>
        <w:ind w:left="284" w:hanging="283"/>
        <w:contextualSpacing/>
        <w:rPr>
          <w:rFonts w:eastAsia="Calibri" w:cs="Arial"/>
          <w:b/>
          <w:sz w:val="22"/>
          <w:szCs w:val="22"/>
          <w:lang w:eastAsia="en-US"/>
        </w:rPr>
      </w:pPr>
      <w:r w:rsidRPr="00B05B98">
        <w:rPr>
          <w:rFonts w:eastAsia="Calibri" w:cs="Arial"/>
          <w:b/>
          <w:sz w:val="22"/>
          <w:szCs w:val="22"/>
          <w:lang w:eastAsia="en-US"/>
        </w:rPr>
        <w:t>OPĆE ODREDBE</w:t>
      </w:r>
    </w:p>
    <w:p w14:paraId="5B2EB83C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2A5EAA2B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Ovom Odlukom o komunalnoj naknadi (u daljnjem tekstu: Odluka) za područje Grada Kraljevice uređuju se:</w:t>
      </w:r>
    </w:p>
    <w:p w14:paraId="0CB2FB55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područja zona u kojima se naplaćuje komunalna naknada,</w:t>
      </w:r>
    </w:p>
    <w:p w14:paraId="496098D6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koeficijent zone (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Kz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>) za pojedine zone u kojima se naplaćuje komunalna naknada,</w:t>
      </w:r>
    </w:p>
    <w:p w14:paraId="19D422FC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koeficijent namjene (Kn) za nekretnine za koje se plaća komunalna naknada,</w:t>
      </w:r>
    </w:p>
    <w:p w14:paraId="7A4EDDD5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rok plaćanja komunalne naknade,</w:t>
      </w:r>
    </w:p>
    <w:p w14:paraId="3EA12EBD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nekretnine važne za Grad Kraljevicu koje se u potpunosti ili djelomično oslobađaju od plaćanja komunalne naknade,</w:t>
      </w:r>
    </w:p>
    <w:p w14:paraId="488AD3F7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opći uvjeti i razlozi zbog kojih se u pojedinačnim slučajevima može odobriti djelomično ili potpuno oslobađanje od plaćanja komunalne naknade.</w:t>
      </w:r>
    </w:p>
    <w:p w14:paraId="10F27344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Riječi i pojmovi koji se koriste u ovoj Odluci, a koji imaju rodno značenje, odnose se jednako na muški i ženski rod, bez obzira u kojem su rodu navedeni.</w:t>
      </w:r>
    </w:p>
    <w:p w14:paraId="403CA496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7182E0C3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Komunalnu naknadu plaća vlasnik odnosno korisnik stambenog prostora, garažnog prostora, poslovnog prostora, građevinskog zemljišta koje služi obavljanju poslovne djelatnosti i neizgrađenog građevinskog zemljišta (u daljnjem tekstu: obveznik).</w:t>
      </w:r>
    </w:p>
    <w:p w14:paraId="44F5839D" w14:textId="77777777" w:rsidR="00B05B98" w:rsidRPr="00B05B98" w:rsidRDefault="00B05B98" w:rsidP="00B05B98">
      <w:pPr>
        <w:numPr>
          <w:ilvl w:val="0"/>
          <w:numId w:val="1"/>
        </w:numPr>
        <w:spacing w:before="240" w:after="120" w:line="264" w:lineRule="auto"/>
        <w:ind w:left="284" w:hanging="283"/>
        <w:contextualSpacing/>
        <w:rPr>
          <w:rFonts w:eastAsia="Calibri" w:cs="Arial"/>
          <w:b/>
          <w:sz w:val="22"/>
          <w:szCs w:val="22"/>
          <w:lang w:eastAsia="en-US"/>
        </w:rPr>
      </w:pPr>
      <w:r w:rsidRPr="00B05B98">
        <w:rPr>
          <w:rFonts w:eastAsia="Calibri" w:cs="Arial"/>
          <w:b/>
          <w:sz w:val="22"/>
          <w:szCs w:val="22"/>
          <w:lang w:eastAsia="en-US"/>
        </w:rPr>
        <w:t>PODRUČJA ZONA</w:t>
      </w:r>
    </w:p>
    <w:p w14:paraId="19C6F1BC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003468A8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Komunalna naknada plaća se na cijelom području Grada Kraljevice koje obuhvaća:</w:t>
      </w:r>
    </w:p>
    <w:p w14:paraId="759FA0B6" w14:textId="77777777" w:rsidR="00B05B98" w:rsidRPr="00B05B98" w:rsidRDefault="00B05B98" w:rsidP="00B05B98">
      <w:pPr>
        <w:numPr>
          <w:ilvl w:val="0"/>
          <w:numId w:val="2"/>
        </w:numPr>
        <w:spacing w:after="120" w:line="264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naselje Bakarac,</w:t>
      </w:r>
    </w:p>
    <w:p w14:paraId="07E5625A" w14:textId="77777777" w:rsidR="00B05B98" w:rsidRPr="00B05B98" w:rsidRDefault="00B05B98" w:rsidP="00B05B98">
      <w:pPr>
        <w:numPr>
          <w:ilvl w:val="0"/>
          <w:numId w:val="2"/>
        </w:numPr>
        <w:spacing w:after="120" w:line="264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naselje Kraljevica,</w:t>
      </w:r>
    </w:p>
    <w:p w14:paraId="05FADEB5" w14:textId="77777777" w:rsidR="00B05B98" w:rsidRPr="00B05B98" w:rsidRDefault="00B05B98" w:rsidP="00B05B98">
      <w:pPr>
        <w:numPr>
          <w:ilvl w:val="0"/>
          <w:numId w:val="2"/>
        </w:numPr>
        <w:spacing w:after="120" w:line="264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naselje Šmrika,</w:t>
      </w:r>
    </w:p>
    <w:p w14:paraId="043E683A" w14:textId="77777777" w:rsidR="00B05B98" w:rsidRPr="00B05B98" w:rsidRDefault="00B05B98" w:rsidP="00B05B98">
      <w:pPr>
        <w:numPr>
          <w:ilvl w:val="0"/>
          <w:numId w:val="2"/>
        </w:numPr>
        <w:spacing w:after="120" w:line="264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naselje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Križišće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>,</w:t>
      </w:r>
    </w:p>
    <w:p w14:paraId="69311B76" w14:textId="77777777" w:rsidR="00B05B98" w:rsidRPr="00B05B98" w:rsidRDefault="00B05B98" w:rsidP="00B05B98">
      <w:pPr>
        <w:numPr>
          <w:ilvl w:val="0"/>
          <w:numId w:val="2"/>
        </w:numPr>
        <w:spacing w:after="120" w:line="264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naselje Mali Dol,</w:t>
      </w:r>
    </w:p>
    <w:p w14:paraId="1BF76605" w14:textId="77777777" w:rsidR="00B05B98" w:rsidRPr="00B05B98" w:rsidRDefault="00B05B98" w:rsidP="00B05B98">
      <w:pPr>
        <w:numPr>
          <w:ilvl w:val="0"/>
          <w:numId w:val="2"/>
        </w:numPr>
        <w:spacing w:after="120" w:line="264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naselje Veli Dol.</w:t>
      </w:r>
    </w:p>
    <w:p w14:paraId="7D1193B9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265D0C1B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Na području Grada Kraljevice utvrđuju se 2 (dvije) zone za plaćanje komunalne naknade kako slijedi:</w:t>
      </w:r>
    </w:p>
    <w:p w14:paraId="5AA630DD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b/>
          <w:sz w:val="22"/>
          <w:szCs w:val="22"/>
          <w:lang w:eastAsia="en-US"/>
        </w:rPr>
        <w:t>I. zona</w:t>
      </w:r>
      <w:r w:rsidRPr="00B05B98">
        <w:rPr>
          <w:rFonts w:eastAsia="Calibri" w:cs="Arial"/>
          <w:sz w:val="22"/>
          <w:szCs w:val="22"/>
          <w:lang w:eastAsia="en-US"/>
        </w:rPr>
        <w:t xml:space="preserve"> obuhvaća:</w:t>
      </w:r>
    </w:p>
    <w:p w14:paraId="34AD6BF2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ab/>
        <w:t>- dio naselja Bakarac: ulica Bakarac</w:t>
      </w:r>
    </w:p>
    <w:p w14:paraId="7C12FEB3" w14:textId="77777777" w:rsidR="00B05B98" w:rsidRPr="00B05B98" w:rsidRDefault="00B05B98" w:rsidP="00B05B98">
      <w:pPr>
        <w:spacing w:after="120" w:line="264" w:lineRule="auto"/>
        <w:ind w:left="709" w:hanging="709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lastRenderedPageBreak/>
        <w:tab/>
        <w:t xml:space="preserve">- dio naselja Kraljevica: ulice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Arčaninova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Braće Radića,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Carovo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Dražina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Faranski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 progon, Filipa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Pavešića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Frankopanska,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Homolićevo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Ivana Jakovčića,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Javorišće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Kalina, Kovačnica, Marijana Jurkovića, Mate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Valjata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Milana Šenoe, Milutina Cihlara, Obala kralja Tomislava, Oštro,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Palih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 boraca,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Podbanj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Podfara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Preradovićeva,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Randićeva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Rovina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Strossmayerova, Sušilo, Šetalište Vladimira Nazora,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Turkovićeva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Uglica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Uvala Grabrova, Vrtić,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Zahrustica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>, Zrinjski trg.</w:t>
      </w:r>
    </w:p>
    <w:p w14:paraId="7FC2066B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b/>
          <w:sz w:val="22"/>
          <w:szCs w:val="22"/>
          <w:lang w:eastAsia="en-US"/>
        </w:rPr>
        <w:t>II. zona</w:t>
      </w:r>
      <w:r w:rsidRPr="00B05B98">
        <w:rPr>
          <w:rFonts w:eastAsia="Calibri" w:cs="Arial"/>
          <w:sz w:val="22"/>
          <w:szCs w:val="22"/>
          <w:lang w:eastAsia="en-US"/>
        </w:rPr>
        <w:t xml:space="preserve"> obuhvaća:</w:t>
      </w:r>
    </w:p>
    <w:p w14:paraId="517D3E91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ab/>
        <w:t xml:space="preserve">- dio naselja Bakarac: ulica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Turinovo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 selo</w:t>
      </w:r>
    </w:p>
    <w:p w14:paraId="4CD618B7" w14:textId="77777777" w:rsidR="00B05B98" w:rsidRPr="00B05B98" w:rsidRDefault="00B05B98" w:rsidP="00B05B98">
      <w:pPr>
        <w:spacing w:after="120" w:line="264" w:lineRule="auto"/>
        <w:ind w:left="709" w:hanging="709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ab/>
        <w:t xml:space="preserve">- dio naselja Kraljevica: ulice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Bakarački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 put,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Banj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Fara,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Kavranić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Klančina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Pregraje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Sisačka,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Škabrlovo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 xml:space="preserve">, Vršina,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Žlibina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>.</w:t>
      </w:r>
    </w:p>
    <w:p w14:paraId="4C7F0EBA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ab/>
        <w:t>- cijelo naselje Šmrika</w:t>
      </w:r>
    </w:p>
    <w:p w14:paraId="4164E524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ab/>
        <w:t xml:space="preserve">- cijelo naselje 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Križišće</w:t>
      </w:r>
      <w:proofErr w:type="spellEnd"/>
    </w:p>
    <w:p w14:paraId="56B75B50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ab/>
        <w:t>- cijelo naselje Mali Dol</w:t>
      </w:r>
    </w:p>
    <w:p w14:paraId="5336DF9B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ab/>
        <w:t>- cijelo naselje Veli Dol</w:t>
      </w:r>
    </w:p>
    <w:p w14:paraId="7B2D2B73" w14:textId="77777777" w:rsidR="00B05B98" w:rsidRPr="00B05B98" w:rsidRDefault="00B05B98" w:rsidP="00B05B98">
      <w:pPr>
        <w:numPr>
          <w:ilvl w:val="0"/>
          <w:numId w:val="1"/>
        </w:numPr>
        <w:spacing w:before="240" w:after="120" w:line="264" w:lineRule="auto"/>
        <w:ind w:left="284" w:hanging="283"/>
        <w:contextualSpacing/>
        <w:rPr>
          <w:rFonts w:eastAsia="Calibri" w:cs="Arial"/>
          <w:b/>
          <w:sz w:val="22"/>
          <w:szCs w:val="22"/>
          <w:lang w:eastAsia="en-US"/>
        </w:rPr>
      </w:pPr>
      <w:r w:rsidRPr="00B05B98">
        <w:rPr>
          <w:rFonts w:eastAsia="Calibri" w:cs="Arial"/>
          <w:b/>
          <w:sz w:val="22"/>
          <w:szCs w:val="22"/>
          <w:lang w:eastAsia="en-US"/>
        </w:rPr>
        <w:t>KOEFICIJENT ZONE</w:t>
      </w:r>
    </w:p>
    <w:p w14:paraId="0EE8DB6F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1636E028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Koeficijent zone (</w:t>
      </w:r>
      <w:proofErr w:type="spellStart"/>
      <w:r w:rsidRPr="00B05B98">
        <w:rPr>
          <w:rFonts w:eastAsia="Calibri" w:cs="Arial"/>
          <w:sz w:val="22"/>
          <w:szCs w:val="22"/>
          <w:lang w:eastAsia="en-US"/>
        </w:rPr>
        <w:t>Kz</w:t>
      </w:r>
      <w:proofErr w:type="spellEnd"/>
      <w:r w:rsidRPr="00B05B98">
        <w:rPr>
          <w:rFonts w:eastAsia="Calibri" w:cs="Arial"/>
          <w:sz w:val="22"/>
          <w:szCs w:val="22"/>
          <w:lang w:eastAsia="en-US"/>
        </w:rPr>
        <w:t>) iznosi za:</w:t>
      </w:r>
    </w:p>
    <w:p w14:paraId="52422629" w14:textId="77777777" w:rsidR="00B05B98" w:rsidRPr="00B05B98" w:rsidRDefault="00B05B98" w:rsidP="00B05B98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I. zonu          1,00</w:t>
      </w:r>
    </w:p>
    <w:p w14:paraId="4EBEE59C" w14:textId="77777777" w:rsidR="00B05B98" w:rsidRPr="00B05B98" w:rsidRDefault="00B05B98" w:rsidP="00B05B98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II. zonu         0,80</w:t>
      </w:r>
    </w:p>
    <w:p w14:paraId="0C7B6F09" w14:textId="77777777" w:rsidR="00B05B98" w:rsidRPr="00B05B98" w:rsidRDefault="00B05B98" w:rsidP="00B05B98">
      <w:pPr>
        <w:spacing w:after="120" w:line="276" w:lineRule="auto"/>
        <w:ind w:left="720"/>
        <w:contextualSpacing/>
        <w:jc w:val="both"/>
        <w:rPr>
          <w:rFonts w:eastAsia="Calibri" w:cs="Arial"/>
          <w:sz w:val="22"/>
          <w:szCs w:val="22"/>
          <w:lang w:eastAsia="en-US"/>
        </w:rPr>
      </w:pPr>
    </w:p>
    <w:p w14:paraId="765F6C2E" w14:textId="77777777" w:rsidR="00B05B98" w:rsidRPr="00B05B98" w:rsidRDefault="00B05B98" w:rsidP="00B05B98">
      <w:pPr>
        <w:numPr>
          <w:ilvl w:val="0"/>
          <w:numId w:val="1"/>
        </w:numPr>
        <w:spacing w:before="240" w:after="120" w:line="264" w:lineRule="auto"/>
        <w:ind w:left="284" w:hanging="283"/>
        <w:contextualSpacing/>
        <w:rPr>
          <w:rFonts w:eastAsia="Calibri" w:cs="Arial"/>
          <w:b/>
          <w:sz w:val="22"/>
          <w:szCs w:val="22"/>
          <w:lang w:eastAsia="en-US"/>
        </w:rPr>
      </w:pPr>
      <w:r w:rsidRPr="00B05B98">
        <w:rPr>
          <w:rFonts w:eastAsia="Calibri" w:cs="Arial"/>
          <w:b/>
          <w:sz w:val="22"/>
          <w:szCs w:val="22"/>
          <w:lang w:eastAsia="en-US"/>
        </w:rPr>
        <w:t xml:space="preserve"> KOEFICIJENT NAMJENE</w:t>
      </w:r>
    </w:p>
    <w:p w14:paraId="45C61E97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5C9066B0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Koeficijent namjene (Kn) iznosi za:</w:t>
      </w:r>
    </w:p>
    <w:p w14:paraId="2AC053FE" w14:textId="77777777" w:rsidR="00B05B98" w:rsidRPr="00B05B98" w:rsidRDefault="00B05B98" w:rsidP="00B05B98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stambeni prostor                                                                                                  1,00</w:t>
      </w:r>
    </w:p>
    <w:p w14:paraId="2F62F9E3" w14:textId="77777777" w:rsidR="00B05B98" w:rsidRPr="00B05B98" w:rsidRDefault="00B05B98" w:rsidP="00B05B98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stambeni i poslovni prostor koji koriste neprofitne udruge građana</w:t>
      </w:r>
      <w:r w:rsidRPr="00B05B98">
        <w:rPr>
          <w:rFonts w:eastAsia="Calibri" w:cs="Arial"/>
          <w:sz w:val="22"/>
          <w:szCs w:val="22"/>
          <w:lang w:eastAsia="en-US"/>
        </w:rPr>
        <w:tab/>
        <w:t xml:space="preserve">         1,00</w:t>
      </w:r>
    </w:p>
    <w:p w14:paraId="03193F4D" w14:textId="77777777" w:rsidR="00B05B98" w:rsidRPr="00B05B98" w:rsidRDefault="00B05B98" w:rsidP="00B05B98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garažni prostor</w:t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  <w:t xml:space="preserve">         1,00</w:t>
      </w:r>
    </w:p>
    <w:p w14:paraId="7A9E2B89" w14:textId="77777777" w:rsidR="00B05B98" w:rsidRPr="00B05B98" w:rsidRDefault="00B05B98" w:rsidP="00B05B98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neizgrađeno građevinsko zemljište</w:t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</w:r>
      <w:r w:rsidRPr="00B05B98">
        <w:rPr>
          <w:rFonts w:eastAsia="Calibri" w:cs="Arial"/>
          <w:sz w:val="22"/>
          <w:szCs w:val="22"/>
          <w:lang w:eastAsia="en-US"/>
        </w:rPr>
        <w:tab/>
        <w:t xml:space="preserve">         0,05</w:t>
      </w:r>
    </w:p>
    <w:p w14:paraId="20F91A50" w14:textId="77777777" w:rsidR="00B05B98" w:rsidRPr="00B05B98" w:rsidRDefault="00B05B98" w:rsidP="00B05B98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poslovni prostor ovisno o djelatnosti po područjima (sukladno metodologiji Nacionalne klasifikacije djelatnosti) kako slijedi:</w:t>
      </w:r>
    </w:p>
    <w:tbl>
      <w:tblPr>
        <w:tblStyle w:val="Reetkatablice"/>
        <w:tblW w:w="90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5528"/>
        <w:gridCol w:w="1412"/>
      </w:tblGrid>
      <w:tr w:rsidR="00B05B98" w:rsidRPr="00B05B98" w14:paraId="40E2D823" w14:textId="77777777" w:rsidTr="00D84174"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733D1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Grupa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FA6C06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Šifra djelatnosti</w:t>
            </w: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0EFA8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Vrsta djelatnosti</w:t>
            </w:r>
          </w:p>
        </w:tc>
        <w:tc>
          <w:tcPr>
            <w:tcW w:w="14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ADA01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Koeficijent namjene Kn</w:t>
            </w:r>
          </w:p>
        </w:tc>
      </w:tr>
      <w:tr w:rsidR="00B05B98" w:rsidRPr="00B05B98" w14:paraId="5A03682A" w14:textId="77777777" w:rsidTr="00D84174">
        <w:tc>
          <w:tcPr>
            <w:tcW w:w="846" w:type="dxa"/>
            <w:vMerge w:val="restart"/>
            <w:tcBorders>
              <w:top w:val="single" w:sz="12" w:space="0" w:color="auto"/>
            </w:tcBorders>
            <w:vAlign w:val="center"/>
          </w:tcPr>
          <w:p w14:paraId="598A8B6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3312122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5528" w:type="dxa"/>
            <w:tcBorders>
              <w:top w:val="single" w:sz="12" w:space="0" w:color="auto"/>
            </w:tcBorders>
          </w:tcPr>
          <w:p w14:paraId="575057E9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Djelatnosti pripreme i usluživanja hrane i pića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</w:tcBorders>
            <w:vAlign w:val="center"/>
          </w:tcPr>
          <w:p w14:paraId="4049606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10,00</w:t>
            </w:r>
          </w:p>
        </w:tc>
      </w:tr>
      <w:tr w:rsidR="00B05B98" w:rsidRPr="00B05B98" w14:paraId="40F71D35" w14:textId="77777777" w:rsidTr="00D84174">
        <w:tc>
          <w:tcPr>
            <w:tcW w:w="846" w:type="dxa"/>
            <w:vMerge/>
            <w:vAlign w:val="center"/>
          </w:tcPr>
          <w:p w14:paraId="4FC007E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4FCBB7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5528" w:type="dxa"/>
          </w:tcPr>
          <w:p w14:paraId="3EB03F5C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Financijske uslužne djelatnosti, osim osiguranja i mirovinskih fondova</w:t>
            </w:r>
          </w:p>
        </w:tc>
        <w:tc>
          <w:tcPr>
            <w:tcW w:w="1412" w:type="dxa"/>
            <w:vMerge/>
            <w:vAlign w:val="center"/>
          </w:tcPr>
          <w:p w14:paraId="0A7B8DA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4CCEE414" w14:textId="77777777" w:rsidTr="00D84174">
        <w:tc>
          <w:tcPr>
            <w:tcW w:w="846" w:type="dxa"/>
            <w:vMerge/>
            <w:vAlign w:val="center"/>
          </w:tcPr>
          <w:p w14:paraId="632861A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F3736F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5528" w:type="dxa"/>
          </w:tcPr>
          <w:p w14:paraId="244529EE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Osiguranje, reosiguranje i mirovinski fondovi, osim obveznog socijalnog osiguranja</w:t>
            </w:r>
          </w:p>
        </w:tc>
        <w:tc>
          <w:tcPr>
            <w:tcW w:w="1412" w:type="dxa"/>
            <w:vMerge/>
            <w:vAlign w:val="center"/>
          </w:tcPr>
          <w:p w14:paraId="0C6654C6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6C301650" w14:textId="77777777" w:rsidTr="00D84174">
        <w:tc>
          <w:tcPr>
            <w:tcW w:w="846" w:type="dxa"/>
            <w:vMerge/>
            <w:vAlign w:val="center"/>
          </w:tcPr>
          <w:p w14:paraId="3810BD4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53A9A8B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5528" w:type="dxa"/>
          </w:tcPr>
          <w:p w14:paraId="6447BE74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Pomoćne djelatnosti za financijske usluge i djelatnosti osiguranja</w:t>
            </w:r>
          </w:p>
        </w:tc>
        <w:tc>
          <w:tcPr>
            <w:tcW w:w="1412" w:type="dxa"/>
            <w:vMerge/>
            <w:vAlign w:val="center"/>
          </w:tcPr>
          <w:p w14:paraId="2F62610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7C4990E8" w14:textId="77777777" w:rsidTr="00D84174">
        <w:tc>
          <w:tcPr>
            <w:tcW w:w="846" w:type="dxa"/>
            <w:vMerge/>
            <w:tcBorders>
              <w:bottom w:val="single" w:sz="12" w:space="0" w:color="auto"/>
            </w:tcBorders>
            <w:vAlign w:val="center"/>
          </w:tcPr>
          <w:p w14:paraId="0BD4E8B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01EF518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5528" w:type="dxa"/>
            <w:tcBorders>
              <w:bottom w:val="single" w:sz="12" w:space="0" w:color="auto"/>
            </w:tcBorders>
          </w:tcPr>
          <w:p w14:paraId="55175440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Djelatnosti kockanja i klađenja</w:t>
            </w:r>
          </w:p>
        </w:tc>
        <w:tc>
          <w:tcPr>
            <w:tcW w:w="1412" w:type="dxa"/>
            <w:vMerge/>
            <w:tcBorders>
              <w:bottom w:val="single" w:sz="12" w:space="0" w:color="auto"/>
            </w:tcBorders>
            <w:vAlign w:val="center"/>
          </w:tcPr>
          <w:p w14:paraId="7B07FB8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053798A1" w14:textId="77777777" w:rsidTr="00D84174">
        <w:trPr>
          <w:trHeight w:val="170"/>
        </w:trPr>
        <w:tc>
          <w:tcPr>
            <w:tcW w:w="846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D4901E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64DACADD" w14:textId="77777777" w:rsidR="00B05B98" w:rsidRPr="00B05B98" w:rsidRDefault="00B05B98" w:rsidP="00B05B98">
            <w:pPr>
              <w:jc w:val="center"/>
              <w:rPr>
                <w:rFonts w:eastAsia="Calibri" w:cs="Arial"/>
                <w:color w:val="EE0000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5528" w:type="dxa"/>
            <w:tcBorders>
              <w:top w:val="single" w:sz="12" w:space="0" w:color="auto"/>
            </w:tcBorders>
          </w:tcPr>
          <w:p w14:paraId="38A57938" w14:textId="77777777" w:rsidR="00B05B98" w:rsidRPr="00B05B98" w:rsidRDefault="00B05B98" w:rsidP="00B05B98">
            <w:pPr>
              <w:jc w:val="both"/>
              <w:rPr>
                <w:rFonts w:eastAsia="Calibri" w:cs="Arial"/>
                <w:color w:val="EE0000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Trgovina na veliko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F2839A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8,333</w:t>
            </w:r>
          </w:p>
        </w:tc>
      </w:tr>
      <w:tr w:rsidR="00B05B98" w:rsidRPr="00B05B98" w14:paraId="64BCA510" w14:textId="77777777" w:rsidTr="00D84174">
        <w:tc>
          <w:tcPr>
            <w:tcW w:w="846" w:type="dxa"/>
            <w:vMerge/>
            <w:vAlign w:val="center"/>
          </w:tcPr>
          <w:p w14:paraId="40E7026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52E4F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5528" w:type="dxa"/>
          </w:tcPr>
          <w:p w14:paraId="7C265ACD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Trgovina na malo</w:t>
            </w:r>
          </w:p>
        </w:tc>
        <w:tc>
          <w:tcPr>
            <w:tcW w:w="1412" w:type="dxa"/>
            <w:vMerge/>
            <w:vAlign w:val="center"/>
          </w:tcPr>
          <w:p w14:paraId="6676558B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5F7B9A7D" w14:textId="77777777" w:rsidTr="00D84174">
        <w:tc>
          <w:tcPr>
            <w:tcW w:w="846" w:type="dxa"/>
            <w:vMerge/>
            <w:tcBorders>
              <w:bottom w:val="single" w:sz="12" w:space="0" w:color="auto"/>
            </w:tcBorders>
            <w:vAlign w:val="center"/>
          </w:tcPr>
          <w:p w14:paraId="3415426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2EA189B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5528" w:type="dxa"/>
            <w:tcBorders>
              <w:bottom w:val="single" w:sz="12" w:space="0" w:color="auto"/>
            </w:tcBorders>
          </w:tcPr>
          <w:p w14:paraId="062C1316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Skladištenje i prateće djelatnosti u prijevozu</w:t>
            </w:r>
          </w:p>
        </w:tc>
        <w:tc>
          <w:tcPr>
            <w:tcW w:w="1412" w:type="dxa"/>
            <w:vMerge/>
            <w:tcBorders>
              <w:bottom w:val="single" w:sz="12" w:space="0" w:color="auto"/>
            </w:tcBorders>
            <w:vAlign w:val="center"/>
          </w:tcPr>
          <w:p w14:paraId="63E4E6E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27438AE5" w14:textId="77777777" w:rsidTr="00D84174">
        <w:tc>
          <w:tcPr>
            <w:tcW w:w="846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3E2947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6655D2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5528" w:type="dxa"/>
            <w:tcBorders>
              <w:top w:val="single" w:sz="12" w:space="0" w:color="auto"/>
              <w:bottom w:val="single" w:sz="6" w:space="0" w:color="auto"/>
            </w:tcBorders>
          </w:tcPr>
          <w:p w14:paraId="39B3CAE2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Vodni prijevoz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17B038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6,667</w:t>
            </w:r>
          </w:p>
        </w:tc>
      </w:tr>
      <w:tr w:rsidR="00B05B98" w:rsidRPr="00B05B98" w14:paraId="5AE4F299" w14:textId="77777777" w:rsidTr="00D84174">
        <w:tc>
          <w:tcPr>
            <w:tcW w:w="846" w:type="dxa"/>
            <w:vMerge/>
            <w:tcBorders>
              <w:top w:val="single" w:sz="6" w:space="0" w:color="auto"/>
            </w:tcBorders>
            <w:vAlign w:val="center"/>
          </w:tcPr>
          <w:p w14:paraId="65342AC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1D5A58A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14:paraId="2E08E820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Izdavačke djelatnosti</w:t>
            </w:r>
          </w:p>
        </w:tc>
        <w:tc>
          <w:tcPr>
            <w:tcW w:w="1412" w:type="dxa"/>
            <w:vMerge/>
            <w:tcBorders>
              <w:top w:val="single" w:sz="6" w:space="0" w:color="auto"/>
            </w:tcBorders>
            <w:vAlign w:val="center"/>
          </w:tcPr>
          <w:p w14:paraId="26BDD01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005CAC53" w14:textId="77777777" w:rsidTr="00D84174">
        <w:tc>
          <w:tcPr>
            <w:tcW w:w="846" w:type="dxa"/>
            <w:vMerge/>
            <w:vAlign w:val="center"/>
          </w:tcPr>
          <w:p w14:paraId="1C3BB52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9A2077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5528" w:type="dxa"/>
          </w:tcPr>
          <w:p w14:paraId="18044535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 xml:space="preserve">Proizvodnja filmova, </w:t>
            </w:r>
            <w:proofErr w:type="spellStart"/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videofilmova</w:t>
            </w:r>
            <w:proofErr w:type="spellEnd"/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 xml:space="preserve"> i televizijskog programa, djelatnosti snimanja zvučnih zapisa i izdavanja glazbenih zapisa</w:t>
            </w:r>
          </w:p>
        </w:tc>
        <w:tc>
          <w:tcPr>
            <w:tcW w:w="1412" w:type="dxa"/>
            <w:vMerge/>
            <w:vAlign w:val="center"/>
          </w:tcPr>
          <w:p w14:paraId="76DFBCD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619E488E" w14:textId="77777777" w:rsidTr="00D84174">
        <w:tc>
          <w:tcPr>
            <w:tcW w:w="846" w:type="dxa"/>
            <w:vMerge/>
            <w:vAlign w:val="center"/>
          </w:tcPr>
          <w:p w14:paraId="7E4B976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4FB836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5528" w:type="dxa"/>
          </w:tcPr>
          <w:p w14:paraId="2FEC4DB3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Emitiranje radijskog i televizijskog programa, djelatnosti novinskih agencija i ostale djelatnosti distribucije sadržaja</w:t>
            </w:r>
          </w:p>
        </w:tc>
        <w:tc>
          <w:tcPr>
            <w:tcW w:w="1412" w:type="dxa"/>
            <w:vMerge/>
            <w:vAlign w:val="center"/>
          </w:tcPr>
          <w:p w14:paraId="176D929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0CDB33C" w14:textId="77777777" w:rsidTr="00D84174">
        <w:tc>
          <w:tcPr>
            <w:tcW w:w="846" w:type="dxa"/>
            <w:vMerge/>
            <w:vAlign w:val="center"/>
          </w:tcPr>
          <w:p w14:paraId="1052604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34464D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5528" w:type="dxa"/>
          </w:tcPr>
          <w:p w14:paraId="31DCD51C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Telekomunikacije</w:t>
            </w:r>
          </w:p>
        </w:tc>
        <w:tc>
          <w:tcPr>
            <w:tcW w:w="1412" w:type="dxa"/>
            <w:vMerge/>
            <w:vAlign w:val="center"/>
          </w:tcPr>
          <w:p w14:paraId="7FE8609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393283E6" w14:textId="77777777" w:rsidTr="00D84174">
        <w:tc>
          <w:tcPr>
            <w:tcW w:w="846" w:type="dxa"/>
            <w:vMerge/>
            <w:vAlign w:val="center"/>
          </w:tcPr>
          <w:p w14:paraId="3E61B16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4DEB30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5528" w:type="dxa"/>
          </w:tcPr>
          <w:p w14:paraId="2E85DBE5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Računalno programiranje, savjetovanje i djelatnosti povezane s njima</w:t>
            </w:r>
          </w:p>
        </w:tc>
        <w:tc>
          <w:tcPr>
            <w:tcW w:w="1412" w:type="dxa"/>
            <w:vMerge/>
            <w:vAlign w:val="center"/>
          </w:tcPr>
          <w:p w14:paraId="6051B25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7BC36330" w14:textId="77777777" w:rsidTr="00D84174">
        <w:tc>
          <w:tcPr>
            <w:tcW w:w="846" w:type="dxa"/>
            <w:vMerge/>
            <w:vAlign w:val="center"/>
          </w:tcPr>
          <w:p w14:paraId="61FAEA6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1FFD8D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5528" w:type="dxa"/>
          </w:tcPr>
          <w:p w14:paraId="7F2FC038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Računalna infrastruktura, obrada podataka, usluge poslužitelja i ostale informacijske uslužne djelatnosti</w:t>
            </w:r>
          </w:p>
        </w:tc>
        <w:tc>
          <w:tcPr>
            <w:tcW w:w="1412" w:type="dxa"/>
            <w:vMerge/>
            <w:vAlign w:val="center"/>
          </w:tcPr>
          <w:p w14:paraId="65EE230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5BE23A24" w14:textId="77777777" w:rsidTr="00D84174">
        <w:tc>
          <w:tcPr>
            <w:tcW w:w="846" w:type="dxa"/>
            <w:vMerge/>
            <w:vAlign w:val="center"/>
          </w:tcPr>
          <w:p w14:paraId="11C134DB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C15785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5528" w:type="dxa"/>
          </w:tcPr>
          <w:p w14:paraId="1EB5B590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Poslovanje nekretninama</w:t>
            </w:r>
          </w:p>
        </w:tc>
        <w:tc>
          <w:tcPr>
            <w:tcW w:w="1412" w:type="dxa"/>
            <w:vMerge/>
            <w:vAlign w:val="center"/>
          </w:tcPr>
          <w:p w14:paraId="3C030BA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4D4989D7" w14:textId="77777777" w:rsidTr="00D84174">
        <w:tc>
          <w:tcPr>
            <w:tcW w:w="846" w:type="dxa"/>
            <w:vMerge/>
            <w:vAlign w:val="center"/>
          </w:tcPr>
          <w:p w14:paraId="10DD4D5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4EC1F4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5528" w:type="dxa"/>
          </w:tcPr>
          <w:p w14:paraId="4177B9A2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Pravne i računovodstvene djelatnosti</w:t>
            </w:r>
          </w:p>
        </w:tc>
        <w:tc>
          <w:tcPr>
            <w:tcW w:w="1412" w:type="dxa"/>
            <w:vMerge/>
            <w:vAlign w:val="center"/>
          </w:tcPr>
          <w:p w14:paraId="29195E7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65D089B" w14:textId="77777777" w:rsidTr="00D84174">
        <w:tc>
          <w:tcPr>
            <w:tcW w:w="846" w:type="dxa"/>
            <w:vMerge/>
            <w:vAlign w:val="center"/>
          </w:tcPr>
          <w:p w14:paraId="1939E70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D61D7C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5528" w:type="dxa"/>
          </w:tcPr>
          <w:p w14:paraId="0D9FE961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Upravljačke djelatnosti i savjetovanje u vezi s upravljanjem</w:t>
            </w:r>
          </w:p>
        </w:tc>
        <w:tc>
          <w:tcPr>
            <w:tcW w:w="1412" w:type="dxa"/>
            <w:vMerge/>
            <w:vAlign w:val="center"/>
          </w:tcPr>
          <w:p w14:paraId="4AC8D9E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487ACA0C" w14:textId="77777777" w:rsidTr="00D84174">
        <w:tc>
          <w:tcPr>
            <w:tcW w:w="846" w:type="dxa"/>
            <w:vMerge/>
            <w:vAlign w:val="center"/>
          </w:tcPr>
          <w:p w14:paraId="0A1FDBE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345071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5528" w:type="dxa"/>
          </w:tcPr>
          <w:p w14:paraId="0A2DB7BA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Arhitektonske djelatnosti i inženjerstvo; tehničko ispitivanje i analiza</w:t>
            </w:r>
          </w:p>
        </w:tc>
        <w:tc>
          <w:tcPr>
            <w:tcW w:w="1412" w:type="dxa"/>
            <w:vMerge/>
            <w:vAlign w:val="center"/>
          </w:tcPr>
          <w:p w14:paraId="16EE212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326F58A" w14:textId="77777777" w:rsidTr="00D84174">
        <w:tc>
          <w:tcPr>
            <w:tcW w:w="846" w:type="dxa"/>
            <w:vMerge/>
            <w:vAlign w:val="center"/>
          </w:tcPr>
          <w:p w14:paraId="29A606B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15D50A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5528" w:type="dxa"/>
          </w:tcPr>
          <w:p w14:paraId="53ED231D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Znanstveno istraživanje i razvoj</w:t>
            </w:r>
          </w:p>
        </w:tc>
        <w:tc>
          <w:tcPr>
            <w:tcW w:w="1412" w:type="dxa"/>
            <w:vMerge/>
            <w:vAlign w:val="center"/>
          </w:tcPr>
          <w:p w14:paraId="4B68EBB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6D131768" w14:textId="77777777" w:rsidTr="00D84174">
        <w:tc>
          <w:tcPr>
            <w:tcW w:w="846" w:type="dxa"/>
            <w:vMerge/>
            <w:vAlign w:val="center"/>
          </w:tcPr>
          <w:p w14:paraId="58A67BD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5EA80C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5528" w:type="dxa"/>
          </w:tcPr>
          <w:p w14:paraId="105A8A84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Djelatnosti promidžbe, istraživanje tržišta i odnosi s javnošću</w:t>
            </w:r>
          </w:p>
        </w:tc>
        <w:tc>
          <w:tcPr>
            <w:tcW w:w="1412" w:type="dxa"/>
            <w:vMerge/>
            <w:vAlign w:val="center"/>
          </w:tcPr>
          <w:p w14:paraId="7C809CF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67419743" w14:textId="77777777" w:rsidTr="00D84174">
        <w:tc>
          <w:tcPr>
            <w:tcW w:w="846" w:type="dxa"/>
            <w:vMerge/>
            <w:vAlign w:val="center"/>
          </w:tcPr>
          <w:p w14:paraId="1075E2E6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58E5D9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5528" w:type="dxa"/>
          </w:tcPr>
          <w:p w14:paraId="11A9EB2A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Ostale stručne, znanstvene i tehničke djelatnosti</w:t>
            </w:r>
          </w:p>
        </w:tc>
        <w:tc>
          <w:tcPr>
            <w:tcW w:w="1412" w:type="dxa"/>
            <w:vMerge/>
            <w:vAlign w:val="center"/>
          </w:tcPr>
          <w:p w14:paraId="3EAF544B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35917326" w14:textId="77777777" w:rsidTr="00D84174">
        <w:tc>
          <w:tcPr>
            <w:tcW w:w="846" w:type="dxa"/>
            <w:vMerge/>
            <w:vAlign w:val="center"/>
          </w:tcPr>
          <w:p w14:paraId="5A54D34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33976B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5528" w:type="dxa"/>
          </w:tcPr>
          <w:p w14:paraId="4E8C78B0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Veterinarske djelatnosti</w:t>
            </w:r>
          </w:p>
        </w:tc>
        <w:tc>
          <w:tcPr>
            <w:tcW w:w="1412" w:type="dxa"/>
            <w:vMerge/>
            <w:vAlign w:val="center"/>
          </w:tcPr>
          <w:p w14:paraId="7DFEDDD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5C7DD86E" w14:textId="77777777" w:rsidTr="00D84174">
        <w:tc>
          <w:tcPr>
            <w:tcW w:w="846" w:type="dxa"/>
            <w:vMerge/>
            <w:vAlign w:val="center"/>
          </w:tcPr>
          <w:p w14:paraId="27FB3DF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C84F94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5528" w:type="dxa"/>
          </w:tcPr>
          <w:p w14:paraId="445D179A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Djelatnosti iznajmljivanja i davanja u zakup (leasing)</w:t>
            </w:r>
          </w:p>
        </w:tc>
        <w:tc>
          <w:tcPr>
            <w:tcW w:w="1412" w:type="dxa"/>
            <w:vMerge/>
            <w:vAlign w:val="center"/>
          </w:tcPr>
          <w:p w14:paraId="425F48E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04DB0B2E" w14:textId="77777777" w:rsidTr="00D84174">
        <w:tc>
          <w:tcPr>
            <w:tcW w:w="846" w:type="dxa"/>
            <w:vMerge/>
            <w:vAlign w:val="center"/>
          </w:tcPr>
          <w:p w14:paraId="62E4EB7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32A4FE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5528" w:type="dxa"/>
          </w:tcPr>
          <w:p w14:paraId="0949488A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Putničke agencije, organizatori putovanja (turoperatori) i ostale rezervacijske usluge te djelatnosti povezane s njima</w:t>
            </w:r>
          </w:p>
        </w:tc>
        <w:tc>
          <w:tcPr>
            <w:tcW w:w="1412" w:type="dxa"/>
            <w:vMerge/>
            <w:vAlign w:val="center"/>
          </w:tcPr>
          <w:p w14:paraId="5B7078E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27B0F930" w14:textId="77777777" w:rsidTr="00D84174">
        <w:tc>
          <w:tcPr>
            <w:tcW w:w="846" w:type="dxa"/>
            <w:vMerge/>
            <w:vAlign w:val="center"/>
          </w:tcPr>
          <w:p w14:paraId="6248A306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7A309A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5528" w:type="dxa"/>
          </w:tcPr>
          <w:p w14:paraId="64B70C49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Usluge u vezi s upravljanjem i održavanjem zgrada te djelatnosti uređenja i održavanja krajolika</w:t>
            </w:r>
          </w:p>
        </w:tc>
        <w:tc>
          <w:tcPr>
            <w:tcW w:w="1412" w:type="dxa"/>
            <w:vMerge/>
            <w:vAlign w:val="center"/>
          </w:tcPr>
          <w:p w14:paraId="5D5F2F9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7A0CF13A" w14:textId="77777777" w:rsidTr="00D84174">
        <w:tc>
          <w:tcPr>
            <w:tcW w:w="846" w:type="dxa"/>
            <w:vMerge/>
            <w:vAlign w:val="center"/>
          </w:tcPr>
          <w:p w14:paraId="4B5477A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27F645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5528" w:type="dxa"/>
          </w:tcPr>
          <w:p w14:paraId="6C391E31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Javna uprava i obrana; obvezno socijalno osiguranje</w:t>
            </w:r>
          </w:p>
        </w:tc>
        <w:tc>
          <w:tcPr>
            <w:tcW w:w="1412" w:type="dxa"/>
            <w:vMerge/>
            <w:vAlign w:val="center"/>
          </w:tcPr>
          <w:p w14:paraId="66482DAB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6756215A" w14:textId="77777777" w:rsidTr="00D84174">
        <w:tc>
          <w:tcPr>
            <w:tcW w:w="846" w:type="dxa"/>
            <w:vMerge/>
            <w:vAlign w:val="center"/>
          </w:tcPr>
          <w:p w14:paraId="5D8F44C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C4EEA0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5528" w:type="dxa"/>
          </w:tcPr>
          <w:p w14:paraId="5A73DC10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Popravak i održavanje računala, predmeta za osobnu uporabu i kućanstvo te motornih vozila i motocikala</w:t>
            </w:r>
          </w:p>
        </w:tc>
        <w:tc>
          <w:tcPr>
            <w:tcW w:w="1412" w:type="dxa"/>
            <w:vMerge/>
            <w:vAlign w:val="center"/>
          </w:tcPr>
          <w:p w14:paraId="29CE386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E846998" w14:textId="77777777" w:rsidTr="00D84174">
        <w:tc>
          <w:tcPr>
            <w:tcW w:w="846" w:type="dxa"/>
            <w:vMerge/>
            <w:tcBorders>
              <w:bottom w:val="single" w:sz="12" w:space="0" w:color="auto"/>
            </w:tcBorders>
            <w:vAlign w:val="center"/>
          </w:tcPr>
          <w:p w14:paraId="6E4A6F6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38A0D05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5528" w:type="dxa"/>
            <w:tcBorders>
              <w:bottom w:val="single" w:sz="12" w:space="0" w:color="auto"/>
            </w:tcBorders>
          </w:tcPr>
          <w:p w14:paraId="0C6527EC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Osobne uslužne djelatnosti</w:t>
            </w:r>
          </w:p>
        </w:tc>
        <w:tc>
          <w:tcPr>
            <w:tcW w:w="1412" w:type="dxa"/>
            <w:vMerge/>
            <w:tcBorders>
              <w:bottom w:val="single" w:sz="12" w:space="0" w:color="auto"/>
            </w:tcBorders>
            <w:vAlign w:val="center"/>
          </w:tcPr>
          <w:p w14:paraId="1FB9307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A29F146" w14:textId="77777777" w:rsidTr="00D84174">
        <w:tc>
          <w:tcPr>
            <w:tcW w:w="846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8D3C07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E8A68D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528" w:type="dxa"/>
            <w:tcBorders>
              <w:top w:val="single" w:sz="12" w:space="0" w:color="auto"/>
              <w:bottom w:val="single" w:sz="6" w:space="0" w:color="auto"/>
            </w:tcBorders>
          </w:tcPr>
          <w:p w14:paraId="2EE41BDA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Biljna i stočarska  proizvodnja, lovstvo i uslužne djelatnosti povezane s njima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00D52B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5,00</w:t>
            </w:r>
          </w:p>
        </w:tc>
      </w:tr>
      <w:tr w:rsidR="00B05B98" w:rsidRPr="00B05B98" w14:paraId="0C2188E7" w14:textId="77777777" w:rsidTr="00D84174">
        <w:tc>
          <w:tcPr>
            <w:tcW w:w="846" w:type="dxa"/>
            <w:vMerge/>
            <w:tcBorders>
              <w:top w:val="single" w:sz="6" w:space="0" w:color="auto"/>
            </w:tcBorders>
            <w:vAlign w:val="center"/>
          </w:tcPr>
          <w:p w14:paraId="5619BAE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342451C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14:paraId="706244D0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Šumarstvo i sječa drva</w:t>
            </w:r>
          </w:p>
        </w:tc>
        <w:tc>
          <w:tcPr>
            <w:tcW w:w="1412" w:type="dxa"/>
            <w:vMerge/>
            <w:tcBorders>
              <w:top w:val="single" w:sz="6" w:space="0" w:color="auto"/>
            </w:tcBorders>
            <w:vAlign w:val="center"/>
          </w:tcPr>
          <w:p w14:paraId="04F6D3A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021D362A" w14:textId="77777777" w:rsidTr="00D84174">
        <w:tc>
          <w:tcPr>
            <w:tcW w:w="846" w:type="dxa"/>
            <w:vMerge/>
            <w:vAlign w:val="center"/>
          </w:tcPr>
          <w:p w14:paraId="7D8DCF5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458637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528" w:type="dxa"/>
          </w:tcPr>
          <w:p w14:paraId="0DECE038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Ribolov i akvakultura</w:t>
            </w:r>
          </w:p>
        </w:tc>
        <w:tc>
          <w:tcPr>
            <w:tcW w:w="1412" w:type="dxa"/>
            <w:vMerge/>
            <w:vAlign w:val="center"/>
          </w:tcPr>
          <w:p w14:paraId="53626DD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368E83A5" w14:textId="77777777" w:rsidTr="00D84174">
        <w:tc>
          <w:tcPr>
            <w:tcW w:w="846" w:type="dxa"/>
            <w:vMerge/>
            <w:vAlign w:val="center"/>
          </w:tcPr>
          <w:p w14:paraId="35B3A74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825F7B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528" w:type="dxa"/>
          </w:tcPr>
          <w:p w14:paraId="739DD211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Vađenje ugljena i lignita</w:t>
            </w:r>
          </w:p>
        </w:tc>
        <w:tc>
          <w:tcPr>
            <w:tcW w:w="1412" w:type="dxa"/>
            <w:vMerge/>
            <w:vAlign w:val="center"/>
          </w:tcPr>
          <w:p w14:paraId="0890D02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74D17AE5" w14:textId="77777777" w:rsidTr="00D84174">
        <w:tc>
          <w:tcPr>
            <w:tcW w:w="846" w:type="dxa"/>
            <w:vMerge/>
            <w:vAlign w:val="center"/>
          </w:tcPr>
          <w:p w14:paraId="145D271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4B232A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5528" w:type="dxa"/>
          </w:tcPr>
          <w:p w14:paraId="534E8743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Vađenje sirove nafte i prirodnog plina</w:t>
            </w:r>
          </w:p>
        </w:tc>
        <w:tc>
          <w:tcPr>
            <w:tcW w:w="1412" w:type="dxa"/>
            <w:vMerge/>
            <w:vAlign w:val="center"/>
          </w:tcPr>
          <w:p w14:paraId="06A7F79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0BD5253E" w14:textId="77777777" w:rsidTr="00D84174">
        <w:tc>
          <w:tcPr>
            <w:tcW w:w="846" w:type="dxa"/>
            <w:vMerge/>
            <w:vAlign w:val="center"/>
          </w:tcPr>
          <w:p w14:paraId="2364A1B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69DEE4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528" w:type="dxa"/>
          </w:tcPr>
          <w:p w14:paraId="53CB2E73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Vađenje metalnih ruda</w:t>
            </w:r>
          </w:p>
        </w:tc>
        <w:tc>
          <w:tcPr>
            <w:tcW w:w="1412" w:type="dxa"/>
            <w:vMerge/>
            <w:vAlign w:val="center"/>
          </w:tcPr>
          <w:p w14:paraId="34C1DA0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48D94834" w14:textId="77777777" w:rsidTr="00D84174">
        <w:tc>
          <w:tcPr>
            <w:tcW w:w="846" w:type="dxa"/>
            <w:vMerge/>
            <w:vAlign w:val="center"/>
          </w:tcPr>
          <w:p w14:paraId="0B027CF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7FCC9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5528" w:type="dxa"/>
          </w:tcPr>
          <w:p w14:paraId="36D9A38A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Pomoćne uslužne djelatnosti u rudarstvu</w:t>
            </w:r>
          </w:p>
        </w:tc>
        <w:tc>
          <w:tcPr>
            <w:tcW w:w="1412" w:type="dxa"/>
            <w:vMerge/>
            <w:vAlign w:val="center"/>
          </w:tcPr>
          <w:p w14:paraId="5663AC6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0DFDD843" w14:textId="77777777" w:rsidTr="00D84174">
        <w:tc>
          <w:tcPr>
            <w:tcW w:w="846" w:type="dxa"/>
            <w:vMerge/>
            <w:vAlign w:val="center"/>
          </w:tcPr>
          <w:p w14:paraId="52B3BE7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49FCC2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528" w:type="dxa"/>
          </w:tcPr>
          <w:p w14:paraId="1168C37A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prehrambenih proizvoda</w:t>
            </w:r>
          </w:p>
        </w:tc>
        <w:tc>
          <w:tcPr>
            <w:tcW w:w="1412" w:type="dxa"/>
            <w:vMerge/>
            <w:vAlign w:val="center"/>
          </w:tcPr>
          <w:p w14:paraId="7B1FCCB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36406907" w14:textId="77777777" w:rsidTr="00D84174">
        <w:tc>
          <w:tcPr>
            <w:tcW w:w="846" w:type="dxa"/>
            <w:vMerge/>
            <w:vAlign w:val="center"/>
          </w:tcPr>
          <w:p w14:paraId="5E5E29F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D7D390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528" w:type="dxa"/>
          </w:tcPr>
          <w:p w14:paraId="2801C040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pića</w:t>
            </w:r>
          </w:p>
        </w:tc>
        <w:tc>
          <w:tcPr>
            <w:tcW w:w="1412" w:type="dxa"/>
            <w:vMerge/>
            <w:vAlign w:val="center"/>
          </w:tcPr>
          <w:p w14:paraId="663910A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462B405A" w14:textId="77777777" w:rsidTr="00D84174">
        <w:tc>
          <w:tcPr>
            <w:tcW w:w="846" w:type="dxa"/>
            <w:vMerge/>
            <w:vAlign w:val="center"/>
          </w:tcPr>
          <w:p w14:paraId="6009F846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86814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528" w:type="dxa"/>
          </w:tcPr>
          <w:p w14:paraId="38195CB3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tekstila</w:t>
            </w:r>
          </w:p>
        </w:tc>
        <w:tc>
          <w:tcPr>
            <w:tcW w:w="1412" w:type="dxa"/>
            <w:vMerge/>
            <w:vAlign w:val="center"/>
          </w:tcPr>
          <w:p w14:paraId="400620F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20B6E6C2" w14:textId="77777777" w:rsidTr="00D84174">
        <w:tc>
          <w:tcPr>
            <w:tcW w:w="846" w:type="dxa"/>
            <w:vMerge/>
            <w:vAlign w:val="center"/>
          </w:tcPr>
          <w:p w14:paraId="0450A56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4E4FDD6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528" w:type="dxa"/>
          </w:tcPr>
          <w:p w14:paraId="7FEAC9CA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odjeće</w:t>
            </w:r>
          </w:p>
        </w:tc>
        <w:tc>
          <w:tcPr>
            <w:tcW w:w="1412" w:type="dxa"/>
            <w:vMerge/>
            <w:vAlign w:val="center"/>
          </w:tcPr>
          <w:p w14:paraId="6D4C3C6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55E9C7E3" w14:textId="77777777" w:rsidTr="00D84174">
        <w:tc>
          <w:tcPr>
            <w:tcW w:w="846" w:type="dxa"/>
            <w:vMerge/>
            <w:vAlign w:val="center"/>
          </w:tcPr>
          <w:p w14:paraId="23BF6D2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1CA5DD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528" w:type="dxa"/>
          </w:tcPr>
          <w:p w14:paraId="4B7F96B7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kože i srodnih proizvoda od drugih materijala</w:t>
            </w:r>
          </w:p>
        </w:tc>
        <w:tc>
          <w:tcPr>
            <w:tcW w:w="1412" w:type="dxa"/>
            <w:vMerge/>
            <w:vAlign w:val="center"/>
          </w:tcPr>
          <w:p w14:paraId="78C5C37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3425D72" w14:textId="77777777" w:rsidTr="00D84174">
        <w:tc>
          <w:tcPr>
            <w:tcW w:w="846" w:type="dxa"/>
            <w:vMerge/>
            <w:vAlign w:val="center"/>
          </w:tcPr>
          <w:p w14:paraId="04A626E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52F6B2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528" w:type="dxa"/>
          </w:tcPr>
          <w:p w14:paraId="372E549E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 xml:space="preserve">Obrada drva i proizvodnja proizvoda od drva i pluta, osim namještaja; proizvodnja proizvoda od slame i </w:t>
            </w:r>
            <w:proofErr w:type="spellStart"/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pletarskih</w:t>
            </w:r>
            <w:proofErr w:type="spellEnd"/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 xml:space="preserve"> materijala</w:t>
            </w:r>
          </w:p>
        </w:tc>
        <w:tc>
          <w:tcPr>
            <w:tcW w:w="1412" w:type="dxa"/>
            <w:vMerge/>
            <w:vAlign w:val="center"/>
          </w:tcPr>
          <w:p w14:paraId="0770F3B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6C8D47D" w14:textId="77777777" w:rsidTr="00D84174">
        <w:tc>
          <w:tcPr>
            <w:tcW w:w="846" w:type="dxa"/>
            <w:vMerge/>
            <w:vAlign w:val="center"/>
          </w:tcPr>
          <w:p w14:paraId="7407871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FD6BC1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528" w:type="dxa"/>
          </w:tcPr>
          <w:p w14:paraId="4BFBDCC9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Tiskanje i umnožavanje snimljenih zapisa</w:t>
            </w:r>
          </w:p>
        </w:tc>
        <w:tc>
          <w:tcPr>
            <w:tcW w:w="1412" w:type="dxa"/>
            <w:vMerge/>
            <w:vAlign w:val="center"/>
          </w:tcPr>
          <w:p w14:paraId="1851D79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32BE0623" w14:textId="77777777" w:rsidTr="00D84174">
        <w:tc>
          <w:tcPr>
            <w:tcW w:w="846" w:type="dxa"/>
            <w:vMerge/>
            <w:vAlign w:val="center"/>
          </w:tcPr>
          <w:p w14:paraId="318C72F6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423200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528" w:type="dxa"/>
          </w:tcPr>
          <w:p w14:paraId="028FC200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proizvoda od gume i plastike</w:t>
            </w:r>
          </w:p>
        </w:tc>
        <w:tc>
          <w:tcPr>
            <w:tcW w:w="1412" w:type="dxa"/>
            <w:vMerge/>
            <w:vAlign w:val="center"/>
          </w:tcPr>
          <w:p w14:paraId="6012226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75D1C894" w14:textId="77777777" w:rsidTr="00D84174">
        <w:tc>
          <w:tcPr>
            <w:tcW w:w="846" w:type="dxa"/>
            <w:vMerge/>
            <w:vAlign w:val="center"/>
          </w:tcPr>
          <w:p w14:paraId="3EFE32D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8F1894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528" w:type="dxa"/>
          </w:tcPr>
          <w:p w14:paraId="252BFF20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ostalih nemetalnih mineralnih proizvoda</w:t>
            </w:r>
          </w:p>
        </w:tc>
        <w:tc>
          <w:tcPr>
            <w:tcW w:w="1412" w:type="dxa"/>
            <w:vMerge/>
            <w:vAlign w:val="center"/>
          </w:tcPr>
          <w:p w14:paraId="23E7270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2742572F" w14:textId="77777777" w:rsidTr="00D84174">
        <w:tc>
          <w:tcPr>
            <w:tcW w:w="846" w:type="dxa"/>
            <w:vMerge/>
            <w:vAlign w:val="center"/>
          </w:tcPr>
          <w:p w14:paraId="0C08D21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96FE39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528" w:type="dxa"/>
          </w:tcPr>
          <w:p w14:paraId="647A0226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metala</w:t>
            </w:r>
          </w:p>
        </w:tc>
        <w:tc>
          <w:tcPr>
            <w:tcW w:w="1412" w:type="dxa"/>
            <w:vMerge/>
            <w:vAlign w:val="center"/>
          </w:tcPr>
          <w:p w14:paraId="37B148CB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00D96BDA" w14:textId="77777777" w:rsidTr="00D84174">
        <w:tc>
          <w:tcPr>
            <w:tcW w:w="846" w:type="dxa"/>
            <w:vMerge/>
            <w:vAlign w:val="center"/>
          </w:tcPr>
          <w:p w14:paraId="37176BD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890A85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528" w:type="dxa"/>
          </w:tcPr>
          <w:p w14:paraId="0096E2E8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gotovih metalnih proizvoda, osim strojeva i opreme</w:t>
            </w:r>
          </w:p>
        </w:tc>
        <w:tc>
          <w:tcPr>
            <w:tcW w:w="1412" w:type="dxa"/>
            <w:vMerge/>
            <w:vAlign w:val="center"/>
          </w:tcPr>
          <w:p w14:paraId="378B94D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C595022" w14:textId="77777777" w:rsidTr="00D84174">
        <w:tc>
          <w:tcPr>
            <w:tcW w:w="846" w:type="dxa"/>
            <w:vMerge/>
            <w:vAlign w:val="center"/>
          </w:tcPr>
          <w:p w14:paraId="300B392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99D48EB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528" w:type="dxa"/>
          </w:tcPr>
          <w:p w14:paraId="62032EFB" w14:textId="77777777" w:rsidR="00B05B98" w:rsidRPr="00B05B98" w:rsidRDefault="00B05B98" w:rsidP="00B05B98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računala te elektroničkih i optičkih proizvoda</w:t>
            </w:r>
          </w:p>
        </w:tc>
        <w:tc>
          <w:tcPr>
            <w:tcW w:w="1412" w:type="dxa"/>
            <w:vMerge/>
            <w:vAlign w:val="center"/>
          </w:tcPr>
          <w:p w14:paraId="2F2E3FFB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B8A34FD" w14:textId="77777777" w:rsidTr="00D84174">
        <w:tc>
          <w:tcPr>
            <w:tcW w:w="846" w:type="dxa"/>
            <w:vMerge/>
            <w:vAlign w:val="center"/>
          </w:tcPr>
          <w:p w14:paraId="2963FAE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B9E100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528" w:type="dxa"/>
          </w:tcPr>
          <w:p w14:paraId="79D952F3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električne opreme</w:t>
            </w:r>
          </w:p>
        </w:tc>
        <w:tc>
          <w:tcPr>
            <w:tcW w:w="1412" w:type="dxa"/>
            <w:vMerge/>
            <w:vAlign w:val="center"/>
          </w:tcPr>
          <w:p w14:paraId="21502AE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D394765" w14:textId="77777777" w:rsidTr="00D84174">
        <w:tc>
          <w:tcPr>
            <w:tcW w:w="846" w:type="dxa"/>
            <w:vMerge/>
            <w:vAlign w:val="center"/>
          </w:tcPr>
          <w:p w14:paraId="201F7E5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33DA9F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528" w:type="dxa"/>
          </w:tcPr>
          <w:p w14:paraId="1FAD4517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strojeva i uređaja, d. n.</w:t>
            </w:r>
          </w:p>
        </w:tc>
        <w:tc>
          <w:tcPr>
            <w:tcW w:w="1412" w:type="dxa"/>
            <w:vMerge/>
            <w:vAlign w:val="center"/>
          </w:tcPr>
          <w:p w14:paraId="5540423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78A08A85" w14:textId="77777777" w:rsidTr="00D84174">
        <w:tc>
          <w:tcPr>
            <w:tcW w:w="846" w:type="dxa"/>
            <w:vMerge/>
            <w:vAlign w:val="center"/>
          </w:tcPr>
          <w:p w14:paraId="3974BA7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E23549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528" w:type="dxa"/>
          </w:tcPr>
          <w:p w14:paraId="3C70A5AE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motornih vozila, prikolica i poluprikolica</w:t>
            </w:r>
          </w:p>
        </w:tc>
        <w:tc>
          <w:tcPr>
            <w:tcW w:w="1412" w:type="dxa"/>
            <w:vMerge/>
            <w:vAlign w:val="center"/>
          </w:tcPr>
          <w:p w14:paraId="4890DDF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340F875D" w14:textId="77777777" w:rsidTr="00D84174">
        <w:tc>
          <w:tcPr>
            <w:tcW w:w="846" w:type="dxa"/>
            <w:vMerge/>
            <w:vAlign w:val="center"/>
          </w:tcPr>
          <w:p w14:paraId="41EF143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BE669A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528" w:type="dxa"/>
          </w:tcPr>
          <w:p w14:paraId="216FFAF2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ostalih prijevoznih sredstava</w:t>
            </w:r>
          </w:p>
        </w:tc>
        <w:tc>
          <w:tcPr>
            <w:tcW w:w="1412" w:type="dxa"/>
            <w:vMerge/>
            <w:vAlign w:val="center"/>
          </w:tcPr>
          <w:p w14:paraId="5FFAD02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653460DB" w14:textId="77777777" w:rsidTr="00D84174">
        <w:tc>
          <w:tcPr>
            <w:tcW w:w="846" w:type="dxa"/>
            <w:vMerge/>
            <w:vAlign w:val="center"/>
          </w:tcPr>
          <w:p w14:paraId="52C8BA8C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A97CC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528" w:type="dxa"/>
          </w:tcPr>
          <w:p w14:paraId="7625AC8C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Proizvodnja namještaja</w:t>
            </w:r>
          </w:p>
        </w:tc>
        <w:tc>
          <w:tcPr>
            <w:tcW w:w="1412" w:type="dxa"/>
            <w:vMerge/>
            <w:vAlign w:val="center"/>
          </w:tcPr>
          <w:p w14:paraId="1E595C3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7FE346C" w14:textId="77777777" w:rsidTr="00D84174">
        <w:tc>
          <w:tcPr>
            <w:tcW w:w="846" w:type="dxa"/>
            <w:vMerge/>
            <w:vAlign w:val="center"/>
          </w:tcPr>
          <w:p w14:paraId="2574A37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6AF503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528" w:type="dxa"/>
          </w:tcPr>
          <w:p w14:paraId="0EA514DE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Opskrba električnom energijom, plinom, parom i klimatizacija</w:t>
            </w:r>
          </w:p>
        </w:tc>
        <w:tc>
          <w:tcPr>
            <w:tcW w:w="1412" w:type="dxa"/>
            <w:vMerge/>
            <w:vAlign w:val="center"/>
          </w:tcPr>
          <w:p w14:paraId="6E1E35A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61485A16" w14:textId="77777777" w:rsidTr="00D84174">
        <w:tc>
          <w:tcPr>
            <w:tcW w:w="846" w:type="dxa"/>
            <w:vMerge/>
            <w:vAlign w:val="center"/>
          </w:tcPr>
          <w:p w14:paraId="0E2DCF6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E7A76C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5528" w:type="dxa"/>
          </w:tcPr>
          <w:p w14:paraId="0B2BEB18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Građenje stambenih i nestambenih zgrada</w:t>
            </w:r>
          </w:p>
        </w:tc>
        <w:tc>
          <w:tcPr>
            <w:tcW w:w="1412" w:type="dxa"/>
            <w:vMerge/>
            <w:vAlign w:val="center"/>
          </w:tcPr>
          <w:p w14:paraId="2EE6A4A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205F12B1" w14:textId="77777777" w:rsidTr="00D84174">
        <w:tc>
          <w:tcPr>
            <w:tcW w:w="846" w:type="dxa"/>
            <w:vMerge/>
            <w:vAlign w:val="center"/>
          </w:tcPr>
          <w:p w14:paraId="2FB4E4A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9B461F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5528" w:type="dxa"/>
          </w:tcPr>
          <w:p w14:paraId="281DFF6B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Građenje građevina niskogradnje</w:t>
            </w:r>
          </w:p>
        </w:tc>
        <w:tc>
          <w:tcPr>
            <w:tcW w:w="1412" w:type="dxa"/>
            <w:vMerge/>
            <w:vAlign w:val="center"/>
          </w:tcPr>
          <w:p w14:paraId="21DC6D6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604AC4F9" w14:textId="77777777" w:rsidTr="00D84174">
        <w:tc>
          <w:tcPr>
            <w:tcW w:w="846" w:type="dxa"/>
            <w:vMerge/>
            <w:vAlign w:val="center"/>
          </w:tcPr>
          <w:p w14:paraId="7A5CE23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85E867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5528" w:type="dxa"/>
          </w:tcPr>
          <w:p w14:paraId="3D591EBB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Specijalizirane građevinske djelatnosti</w:t>
            </w:r>
          </w:p>
        </w:tc>
        <w:tc>
          <w:tcPr>
            <w:tcW w:w="1412" w:type="dxa"/>
            <w:vMerge/>
            <w:vAlign w:val="center"/>
          </w:tcPr>
          <w:p w14:paraId="1EFCB8D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6E111D99" w14:textId="77777777" w:rsidTr="00D84174">
        <w:tc>
          <w:tcPr>
            <w:tcW w:w="846" w:type="dxa"/>
            <w:vMerge/>
            <w:vAlign w:val="center"/>
          </w:tcPr>
          <w:p w14:paraId="2F73744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B3F956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5528" w:type="dxa"/>
          </w:tcPr>
          <w:p w14:paraId="5152E482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Kopneni prijevoz i cjevovodni transport</w:t>
            </w:r>
          </w:p>
        </w:tc>
        <w:tc>
          <w:tcPr>
            <w:tcW w:w="1412" w:type="dxa"/>
            <w:vMerge/>
            <w:vAlign w:val="center"/>
          </w:tcPr>
          <w:p w14:paraId="74153EA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D02C626" w14:textId="77777777" w:rsidTr="00D84174">
        <w:tc>
          <w:tcPr>
            <w:tcW w:w="846" w:type="dxa"/>
            <w:vMerge/>
            <w:vAlign w:val="center"/>
          </w:tcPr>
          <w:p w14:paraId="21A978E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D8F4B24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5528" w:type="dxa"/>
          </w:tcPr>
          <w:p w14:paraId="7D42AA7F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Poštanske i kurirske djelatnosti</w:t>
            </w:r>
          </w:p>
        </w:tc>
        <w:tc>
          <w:tcPr>
            <w:tcW w:w="1412" w:type="dxa"/>
            <w:vMerge/>
            <w:vAlign w:val="center"/>
          </w:tcPr>
          <w:p w14:paraId="0193C53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2BFF5A56" w14:textId="77777777" w:rsidTr="00D84174">
        <w:tc>
          <w:tcPr>
            <w:tcW w:w="846" w:type="dxa"/>
            <w:vMerge/>
            <w:vAlign w:val="center"/>
          </w:tcPr>
          <w:p w14:paraId="0E78657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BDA4EE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5528" w:type="dxa"/>
          </w:tcPr>
          <w:p w14:paraId="4111D7FC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Smještaj</w:t>
            </w:r>
          </w:p>
        </w:tc>
        <w:tc>
          <w:tcPr>
            <w:tcW w:w="1412" w:type="dxa"/>
            <w:vMerge/>
            <w:vAlign w:val="center"/>
          </w:tcPr>
          <w:p w14:paraId="6497BB7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187F8A03" w14:textId="77777777" w:rsidTr="00D84174">
        <w:tc>
          <w:tcPr>
            <w:tcW w:w="846" w:type="dxa"/>
            <w:vMerge/>
            <w:vAlign w:val="center"/>
          </w:tcPr>
          <w:p w14:paraId="7E395F1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A0305D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5528" w:type="dxa"/>
          </w:tcPr>
          <w:p w14:paraId="61042AB9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Obrazovanje</w:t>
            </w:r>
          </w:p>
        </w:tc>
        <w:tc>
          <w:tcPr>
            <w:tcW w:w="1412" w:type="dxa"/>
            <w:vMerge/>
            <w:vAlign w:val="center"/>
          </w:tcPr>
          <w:p w14:paraId="77E7F3C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79952986" w14:textId="77777777" w:rsidTr="00D84174">
        <w:tc>
          <w:tcPr>
            <w:tcW w:w="846" w:type="dxa"/>
            <w:vMerge/>
            <w:vAlign w:val="center"/>
          </w:tcPr>
          <w:p w14:paraId="6FDE467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D4237F8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5528" w:type="dxa"/>
          </w:tcPr>
          <w:p w14:paraId="3069FEEF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Djelatnosti zdravstvene zaštite</w:t>
            </w:r>
          </w:p>
        </w:tc>
        <w:tc>
          <w:tcPr>
            <w:tcW w:w="1412" w:type="dxa"/>
            <w:vMerge/>
            <w:vAlign w:val="center"/>
          </w:tcPr>
          <w:p w14:paraId="6D65E87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50BAFF95" w14:textId="77777777" w:rsidTr="00D84174">
        <w:tc>
          <w:tcPr>
            <w:tcW w:w="846" w:type="dxa"/>
            <w:vMerge/>
            <w:vAlign w:val="center"/>
          </w:tcPr>
          <w:p w14:paraId="6A66EE57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9D278C5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5528" w:type="dxa"/>
          </w:tcPr>
          <w:p w14:paraId="6A6FC607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Djelatnosti socijalne skrbi sa smještajem</w:t>
            </w:r>
          </w:p>
        </w:tc>
        <w:tc>
          <w:tcPr>
            <w:tcW w:w="1412" w:type="dxa"/>
            <w:vMerge/>
            <w:vAlign w:val="center"/>
          </w:tcPr>
          <w:p w14:paraId="5D0CD7AD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451E6C9D" w14:textId="77777777" w:rsidTr="00D84174">
        <w:tc>
          <w:tcPr>
            <w:tcW w:w="846" w:type="dxa"/>
            <w:vMerge/>
            <w:vAlign w:val="center"/>
          </w:tcPr>
          <w:p w14:paraId="30EBDB02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33DBA6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5528" w:type="dxa"/>
          </w:tcPr>
          <w:p w14:paraId="522624F1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Djelatnosti socijalne skrbi bez smještaja</w:t>
            </w:r>
          </w:p>
        </w:tc>
        <w:tc>
          <w:tcPr>
            <w:tcW w:w="1412" w:type="dxa"/>
            <w:vMerge/>
            <w:vAlign w:val="center"/>
          </w:tcPr>
          <w:p w14:paraId="1C640B9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470BA579" w14:textId="77777777" w:rsidTr="00D84174">
        <w:tc>
          <w:tcPr>
            <w:tcW w:w="846" w:type="dxa"/>
            <w:vMerge/>
            <w:vAlign w:val="center"/>
          </w:tcPr>
          <w:p w14:paraId="3B399010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A58852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5528" w:type="dxa"/>
          </w:tcPr>
          <w:p w14:paraId="20F95D73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Knjižnice, arhivi, muzeji i ostale kulturne djelatnosti</w:t>
            </w:r>
          </w:p>
        </w:tc>
        <w:tc>
          <w:tcPr>
            <w:tcW w:w="1412" w:type="dxa"/>
            <w:vMerge/>
            <w:vAlign w:val="center"/>
          </w:tcPr>
          <w:p w14:paraId="1982B94E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203358C2" w14:textId="77777777" w:rsidTr="00D84174">
        <w:tc>
          <w:tcPr>
            <w:tcW w:w="846" w:type="dxa"/>
            <w:vMerge/>
            <w:vAlign w:val="center"/>
          </w:tcPr>
          <w:p w14:paraId="24D7FF61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D6CFFB6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5528" w:type="dxa"/>
          </w:tcPr>
          <w:p w14:paraId="299AA9EF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Sportske, zabavne i rekreacijske djelatnosti</w:t>
            </w:r>
          </w:p>
        </w:tc>
        <w:tc>
          <w:tcPr>
            <w:tcW w:w="1412" w:type="dxa"/>
            <w:vMerge/>
            <w:vAlign w:val="center"/>
          </w:tcPr>
          <w:p w14:paraId="2D75EDDF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B05B98" w:rsidRPr="00B05B98" w14:paraId="3D1E9414" w14:textId="77777777" w:rsidTr="00D84174">
        <w:tc>
          <w:tcPr>
            <w:tcW w:w="846" w:type="dxa"/>
            <w:vMerge/>
            <w:vAlign w:val="center"/>
          </w:tcPr>
          <w:p w14:paraId="6CE0CEA9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7650E7A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5528" w:type="dxa"/>
          </w:tcPr>
          <w:p w14:paraId="4AE91325" w14:textId="77777777" w:rsidR="00B05B98" w:rsidRPr="00B05B98" w:rsidRDefault="00B05B98" w:rsidP="00B05B98">
            <w:pPr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B05B98">
              <w:rPr>
                <w:rFonts w:eastAsia="Calibri" w:cs="Arial"/>
                <w:sz w:val="22"/>
                <w:szCs w:val="22"/>
                <w:lang w:eastAsia="en-US"/>
              </w:rPr>
              <w:t>Djelatnosti članskih organizacija</w:t>
            </w:r>
          </w:p>
        </w:tc>
        <w:tc>
          <w:tcPr>
            <w:tcW w:w="1412" w:type="dxa"/>
            <w:vMerge/>
            <w:vAlign w:val="center"/>
          </w:tcPr>
          <w:p w14:paraId="6A904E73" w14:textId="77777777" w:rsidR="00B05B98" w:rsidRPr="00B05B98" w:rsidRDefault="00B05B98" w:rsidP="00B05B98">
            <w:pPr>
              <w:jc w:val="center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</w:tbl>
    <w:p w14:paraId="5923983C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</w:p>
    <w:p w14:paraId="45940EE3" w14:textId="77777777" w:rsidR="00B05B98" w:rsidRPr="00B05B98" w:rsidRDefault="00B05B98" w:rsidP="00B05B98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poslovni prostor za djelatnosti koje nisu navedene u prethodnoj alineji</w:t>
      </w:r>
      <w:r w:rsidRPr="00B05B98">
        <w:rPr>
          <w:rFonts w:eastAsia="Calibri" w:cs="Arial"/>
          <w:sz w:val="22"/>
          <w:szCs w:val="22"/>
          <w:lang w:eastAsia="en-US"/>
        </w:rPr>
        <w:tab/>
        <w:t xml:space="preserve">         5,00</w:t>
      </w:r>
    </w:p>
    <w:p w14:paraId="5C0BF32E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517D07F2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Za građevinsko zemljište koje služi obavljanju poslovne djelatnosti koeficijent namjene (Kn) iznosi 10% koeficijenta namjene koji je određen za poslovni prostor.</w:t>
      </w:r>
    </w:p>
    <w:p w14:paraId="44A6BFC2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4C173E15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Za prostor koji nije u namjeni, koeficijent namjene (Kn) utvrđuje se prema namjeni koju je prije imao i/ili za koju je namijenjen. U slučaju da nije moguće utvrditi namjenu, koeficijent namjene (Kn) je 5,00.</w:t>
      </w:r>
    </w:p>
    <w:p w14:paraId="32B585D8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Za poslovne prostore u kojima se više ne obavlja bilo kakva registrirana djelatnost, a nisu prenamijenjeni niti u stambeni prostor niti u garažu, koeficijent namjene (Kn) iznosi 5,00.</w:t>
      </w:r>
    </w:p>
    <w:p w14:paraId="78DC7D9E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</w:p>
    <w:p w14:paraId="3DCC018C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</w:p>
    <w:p w14:paraId="5664281B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</w:p>
    <w:p w14:paraId="5B638240" w14:textId="77777777" w:rsidR="00B05B98" w:rsidRPr="00B05B98" w:rsidRDefault="00B05B98" w:rsidP="00B05B98">
      <w:pPr>
        <w:numPr>
          <w:ilvl w:val="0"/>
          <w:numId w:val="1"/>
        </w:numPr>
        <w:spacing w:before="240" w:after="120" w:line="264" w:lineRule="auto"/>
        <w:ind w:left="284" w:hanging="283"/>
        <w:contextualSpacing/>
        <w:rPr>
          <w:rFonts w:eastAsia="Calibri" w:cs="Arial"/>
          <w:b/>
          <w:sz w:val="22"/>
          <w:szCs w:val="22"/>
          <w:lang w:eastAsia="en-US"/>
        </w:rPr>
      </w:pPr>
      <w:r w:rsidRPr="00B05B98">
        <w:rPr>
          <w:rFonts w:eastAsia="Calibri" w:cs="Arial"/>
          <w:b/>
          <w:sz w:val="22"/>
          <w:szCs w:val="22"/>
          <w:lang w:eastAsia="en-US"/>
        </w:rPr>
        <w:t>ROK PLAĆANJA</w:t>
      </w:r>
    </w:p>
    <w:p w14:paraId="1388C76A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0156F225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Komunalna naknada za stambeni i garažni prostor plaća se kvartalno, tj. u četiri jednaka tromjesečna obroka i to najkasnije do 15-og u slijedećem mjesecu za protekli kvartal.</w:t>
      </w:r>
    </w:p>
    <w:p w14:paraId="7F943799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Komunalna naknada za poslovni prostor i građevinsko zemljište koje služi obavljanju poslovne djelatnosti plaća se mjesečno, najkasnije do 15-og u mjesecu za protekli mjesec.</w:t>
      </w:r>
    </w:p>
    <w:p w14:paraId="7425F7B2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Komunalna naknada za neizgrađeno građevinsko zemljište plaća se godišnje, najkasnije do 30. lipnja tekuće godine.</w:t>
      </w:r>
    </w:p>
    <w:p w14:paraId="6F9C4A7E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59E2B417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lastRenderedPageBreak/>
        <w:t>U slučaju kada se u tekućoj godini utvrdi da je obveza plaćanja komunalne naknade nastala ranijih godina, utvrđeni iznos komunalne naknade za razdoblje od dana nastanka obveze do isteka godine koja prethodi godini u kojoj se donosi rješenje plaća se jednokratno, u roku od 15 dana od dana dostave rješenja o komunalnoj naknadi.</w:t>
      </w:r>
    </w:p>
    <w:p w14:paraId="6923BAFB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U slučaju kada se u tekućoj godini utvrdi obveza plaćanja komunalne naknade za proteklo razdoblje tekuće godine, komunalna naknada plaća se jednokratno, u roku od 15 dana od dana dostave rješenja o komunalnoj naknadi.</w:t>
      </w:r>
    </w:p>
    <w:p w14:paraId="1AC92D37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32D85E63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Na dospjeli iznos neplaćene komunalne naknade obveznik komunalne naknade plaća zateznu kamatu po stopi određenoj pozitivnim propisima.</w:t>
      </w:r>
    </w:p>
    <w:p w14:paraId="31A9D9C7" w14:textId="77777777" w:rsidR="00B05B98" w:rsidRPr="00B05B98" w:rsidRDefault="00B05B98" w:rsidP="00B05B98">
      <w:pPr>
        <w:numPr>
          <w:ilvl w:val="0"/>
          <w:numId w:val="1"/>
        </w:numPr>
        <w:spacing w:before="240" w:after="120" w:line="264" w:lineRule="auto"/>
        <w:ind w:left="284" w:hanging="283"/>
        <w:contextualSpacing/>
        <w:rPr>
          <w:rFonts w:eastAsia="Calibri" w:cs="Arial"/>
          <w:b/>
          <w:sz w:val="22"/>
          <w:szCs w:val="22"/>
          <w:lang w:eastAsia="en-US"/>
        </w:rPr>
      </w:pPr>
      <w:r w:rsidRPr="00B05B98">
        <w:rPr>
          <w:rFonts w:eastAsia="Calibri" w:cs="Arial"/>
          <w:b/>
          <w:sz w:val="22"/>
          <w:szCs w:val="22"/>
          <w:lang w:eastAsia="en-US"/>
        </w:rPr>
        <w:t xml:space="preserve"> OSLOBAĐANJE OD PLAĆANJA KOMUNALNE NAKNADE</w:t>
      </w:r>
    </w:p>
    <w:p w14:paraId="5C146AA7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164C6DD3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Od obveze plaćanja komunalne naknade u potpunosti se oslobađaju nekretnine važne za Grad Kraljevicu:</w:t>
      </w:r>
    </w:p>
    <w:p w14:paraId="0D1DF360" w14:textId="77777777" w:rsidR="00B05B98" w:rsidRPr="00B05B98" w:rsidRDefault="00B05B98" w:rsidP="00B05B98">
      <w:pPr>
        <w:spacing w:after="120" w:line="276" w:lineRule="auto"/>
        <w:ind w:left="284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koje koriste tijela i ustanove kojima je osnivač Grad Kraljevica,</w:t>
      </w:r>
    </w:p>
    <w:p w14:paraId="510E546F" w14:textId="77777777" w:rsidR="00B05B98" w:rsidRPr="00B05B98" w:rsidRDefault="00B05B98" w:rsidP="00B05B98">
      <w:pPr>
        <w:spacing w:after="120" w:line="276" w:lineRule="auto"/>
        <w:ind w:left="284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koje se koriste za djelatnost javnog predškolskog i osnovnog obrazovanja,</w:t>
      </w:r>
    </w:p>
    <w:p w14:paraId="2DCA06C2" w14:textId="77777777" w:rsidR="00B05B98" w:rsidRPr="00B05B98" w:rsidRDefault="00B05B98" w:rsidP="00B05B98">
      <w:pPr>
        <w:spacing w:after="120" w:line="276" w:lineRule="auto"/>
        <w:ind w:left="284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u kojima djeluju ustanove zdravstvene zaštite i socijalne skrbi čiji je osnivač jedinica područne (regionalne) samouprave odnosno Republika Hrvatska,</w:t>
      </w:r>
    </w:p>
    <w:p w14:paraId="3A72118D" w14:textId="77777777" w:rsidR="00B05B98" w:rsidRPr="00B05B98" w:rsidRDefault="00B05B98" w:rsidP="00B05B98">
      <w:pPr>
        <w:spacing w:after="120" w:line="276" w:lineRule="auto"/>
        <w:ind w:left="284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koje koristi dobrovoljno vatrogasno društvo,</w:t>
      </w:r>
    </w:p>
    <w:p w14:paraId="4518163B" w14:textId="77777777" w:rsidR="00B05B98" w:rsidRPr="00B05B98" w:rsidRDefault="00B05B98" w:rsidP="00B05B98">
      <w:pPr>
        <w:spacing w:after="120" w:line="276" w:lineRule="auto"/>
        <w:ind w:left="284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koje se koriste za rad turističke zajednice Grada Kraljevice,</w:t>
      </w:r>
    </w:p>
    <w:p w14:paraId="48199E44" w14:textId="77777777" w:rsidR="00B05B98" w:rsidRPr="00B05B98" w:rsidRDefault="00B05B98" w:rsidP="00B05B98">
      <w:pPr>
        <w:spacing w:after="120" w:line="276" w:lineRule="auto"/>
        <w:ind w:left="284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koje se koriste za rad gradske uprave Grada Kraljevice,</w:t>
      </w:r>
    </w:p>
    <w:p w14:paraId="19D95F76" w14:textId="77777777" w:rsidR="00B05B98" w:rsidRPr="00B05B98" w:rsidRDefault="00B05B98" w:rsidP="00B05B98">
      <w:pPr>
        <w:spacing w:after="120" w:line="276" w:lineRule="auto"/>
        <w:ind w:left="284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koje koriste sportske, kulturne i ostale udruge kada se financiraju iz Proračuna Grada Kraljevice,</w:t>
      </w:r>
    </w:p>
    <w:p w14:paraId="432FF3A8" w14:textId="77777777" w:rsidR="00B05B98" w:rsidRPr="00B05B98" w:rsidRDefault="00B05B98" w:rsidP="00B05B98">
      <w:pPr>
        <w:spacing w:after="120" w:line="276" w:lineRule="auto"/>
        <w:ind w:left="426" w:hanging="142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koje koriste vjerske zajednice za obavljanje njihove vjerske i obrazovne djelatnosti pod uvjetom da te nekretnine njihovi korisnici ne daju u najam, podnajam, zakup, podzakup, ili na privremeno korištenje.</w:t>
      </w:r>
    </w:p>
    <w:p w14:paraId="21A339F1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Od plaćanja komunalne naknade u potpunosti se oslobađaju poslovni i stambeni prostori u vlasništvu ili na upravljanju Grada Kraljevice koji su prazni od osoba i stvari, a namijenjeni su za davanje u zakup odnosno u najam, do dana njihova davanja u zakup odnosno u najam.</w:t>
      </w:r>
    </w:p>
    <w:p w14:paraId="0DF29816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2EC14D0C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Od obveze plaćanja komunalne naknade na zahtjev se u cijelosti oslobađa vlasnik ili korisnik stambenog prostora - hrvatski ratni vojni invalidi iz Domovinskog rata od I. do X. skupine i članovi uže obitelji umrloga hrvatskog ratnog vojnog invalida iz Domovinskog rata s istim oštećenjem organizma, članovi uže i šire obitelji smrtno stradalog hrvatskog branitelja iz Domovinskog rata i članovi uže i šire obitelji nestalog hrvatskog branitelja iz Domovinskog rata, određeni u suglasju sa zakonom kojim se uređuje status hrvatskih branitelja iz Domovinskog rata i članova njihovih obitelji, pod uvjetom da imaju prebivalište na području Grada Kraljevice.</w:t>
      </w:r>
    </w:p>
    <w:p w14:paraId="48B5A305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7B3BD29A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Od obveze plaćanja komunalne naknade privremeno se oslobađaju:</w:t>
      </w:r>
    </w:p>
    <w:p w14:paraId="410B4B57" w14:textId="77777777" w:rsidR="00B05B98" w:rsidRPr="00B05B98" w:rsidRDefault="00B05B98" w:rsidP="00B05B98">
      <w:pPr>
        <w:spacing w:after="120" w:line="276" w:lineRule="auto"/>
        <w:ind w:left="284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lastRenderedPageBreak/>
        <w:t>-  vlasnici ili korisnici stambenog prostora koji ostvaruju pravo na mjesečnu novčanu naknadu za troškove stanovanja u skladu s općim aktom Grada Kraljevice kojim se uređuje socijalna skrb, na rok od jedne godine,</w:t>
      </w:r>
    </w:p>
    <w:p w14:paraId="695629EF" w14:textId="77777777" w:rsidR="00B05B98" w:rsidRPr="00B05B98" w:rsidRDefault="00B05B98" w:rsidP="00B05B98">
      <w:pPr>
        <w:spacing w:after="120" w:line="276" w:lineRule="auto"/>
        <w:ind w:left="284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vlasnici odnosno korisnici nekretnina koje se ne mogu koristiti uslijed oštećenja uzrokovanih požarom, poplavom ili drugim elementarnim nepogodama, i to za vrijeme dok se nastala oštećenja ne otklone, ali ne duljem od 5 godina.</w:t>
      </w:r>
    </w:p>
    <w:p w14:paraId="2993B428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22731F73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Od obveze plaćanja komunalne naknade djelomično se oslobađaju obveznici plaćanja komunalne naknade za nekretnine koje:</w:t>
      </w:r>
    </w:p>
    <w:p w14:paraId="358A4C1B" w14:textId="77777777" w:rsidR="00B05B98" w:rsidRPr="00B05B98" w:rsidRDefault="00B05B98" w:rsidP="00B05B98">
      <w:pPr>
        <w:spacing w:after="120" w:line="276" w:lineRule="auto"/>
        <w:ind w:left="426" w:hanging="141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se počinju koristiti za poslovne djelatnosti, pod uvjetom da je vlasnik ili korisnik sam financirao izgradnju komunalne infrastrukture, ili uređenje prostora u vlasništvu Grada Kraljevice, u iznosu većem od iznosa komunalnog doprinosa i to na rok od 3 (tri) godine od dana početka rada na toj lokaciji, u iznosu od 50%,</w:t>
      </w:r>
    </w:p>
    <w:p w14:paraId="15966CAC" w14:textId="77777777" w:rsidR="00B05B98" w:rsidRPr="00B05B98" w:rsidRDefault="00B05B98" w:rsidP="00B05B98">
      <w:pPr>
        <w:spacing w:after="120" w:line="276" w:lineRule="auto"/>
        <w:ind w:left="426" w:hanging="141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- se počinju koristiti za poslovne djelatnosti, a nalaze se u nekoj od poslovnih zona na području Grada Kraljevice, na način da se djelomično oslobodi od plaćanja komunalne naknade u visini prema godinama:</w:t>
      </w:r>
    </w:p>
    <w:p w14:paraId="46D3B330" w14:textId="77777777" w:rsidR="00B05B98" w:rsidRPr="00B05B98" w:rsidRDefault="00B05B98" w:rsidP="00B05B98">
      <w:pPr>
        <w:numPr>
          <w:ilvl w:val="0"/>
          <w:numId w:val="3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za prvu godinu poslovanja 75%</w:t>
      </w:r>
    </w:p>
    <w:p w14:paraId="428E14D3" w14:textId="77777777" w:rsidR="00B05B98" w:rsidRPr="00B05B98" w:rsidRDefault="00B05B98" w:rsidP="00B05B98">
      <w:pPr>
        <w:numPr>
          <w:ilvl w:val="0"/>
          <w:numId w:val="3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za drugu godinu poslovanja 50%</w:t>
      </w:r>
    </w:p>
    <w:p w14:paraId="5FC1BB11" w14:textId="77777777" w:rsidR="00B05B98" w:rsidRPr="00B05B98" w:rsidRDefault="00B05B98" w:rsidP="00B05B98">
      <w:pPr>
        <w:numPr>
          <w:ilvl w:val="0"/>
          <w:numId w:val="3"/>
        </w:numPr>
        <w:spacing w:after="120" w:line="276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za treću godinu poslovanja 25%</w:t>
      </w:r>
    </w:p>
    <w:p w14:paraId="263261E8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75E2B5E1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Obveznik plaćanja komunalne naknade dužan je prilikom podnošenja zahtjeva za djelomičnim ili potpunim oslobađanjem od plaćanja komunalne naknade upravnom odjelu Grada Kraljevice nadležnom za poslove komunalnog gospodarstva (dalje u tekstu: upravni odjel) dostaviti odgovarajuću dokumentaciju kojom dokazuje ispunjavanje odgovarajućeg uvjeta oslobađanja.</w:t>
      </w:r>
    </w:p>
    <w:p w14:paraId="15686636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6125E7A1" w14:textId="77777777" w:rsidR="00B05B98" w:rsidRPr="00B05B98" w:rsidRDefault="00B05B98" w:rsidP="00B05B98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Rješenje o oslobađanju plaćanja komunalne naknade donosi upravni odjel.</w:t>
      </w:r>
    </w:p>
    <w:p w14:paraId="0633E64E" w14:textId="77777777" w:rsidR="00B05B98" w:rsidRPr="00B05B98" w:rsidRDefault="00B05B98" w:rsidP="00B05B98">
      <w:pPr>
        <w:numPr>
          <w:ilvl w:val="0"/>
          <w:numId w:val="1"/>
        </w:numPr>
        <w:spacing w:before="240" w:after="120" w:line="264" w:lineRule="auto"/>
        <w:ind w:left="284" w:hanging="283"/>
        <w:contextualSpacing/>
        <w:rPr>
          <w:rFonts w:eastAsia="Calibri" w:cs="Arial"/>
          <w:b/>
          <w:sz w:val="22"/>
          <w:szCs w:val="22"/>
          <w:lang w:eastAsia="en-US"/>
        </w:rPr>
      </w:pPr>
      <w:r w:rsidRPr="00B05B98">
        <w:rPr>
          <w:rFonts w:eastAsia="Calibri" w:cs="Arial"/>
          <w:b/>
          <w:sz w:val="22"/>
          <w:szCs w:val="22"/>
          <w:lang w:eastAsia="en-US"/>
        </w:rPr>
        <w:t>PRIJELAZNE I ZAVRŠNE ODREDBE</w:t>
      </w:r>
    </w:p>
    <w:p w14:paraId="1016F782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5C220067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Danom stupanja na snagu ove Odluke prestaje važiti Odluka o komunalnoj naknadi („Službene novine Grada Kraljevice“ broj 7/18 i 9/19).</w:t>
      </w:r>
    </w:p>
    <w:p w14:paraId="1F7668E1" w14:textId="77777777" w:rsidR="00B05B98" w:rsidRPr="00B05B98" w:rsidRDefault="00B05B98" w:rsidP="00B05B98">
      <w:pPr>
        <w:spacing w:before="240" w:after="120" w:line="264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Članak </w:t>
      </w:r>
      <w:r w:rsidRPr="00B05B98">
        <w:rPr>
          <w:rFonts w:eastAsia="Calibri" w:cs="Arial"/>
          <w:sz w:val="22"/>
          <w:szCs w:val="22"/>
          <w:lang w:eastAsia="en-US"/>
        </w:rPr>
        <w:fldChar w:fldCharType="begin"/>
      </w:r>
      <w:r w:rsidRPr="00B05B98">
        <w:rPr>
          <w:rFonts w:eastAsia="Calibri" w:cs="Arial"/>
          <w:sz w:val="22"/>
          <w:szCs w:val="22"/>
          <w:lang w:eastAsia="en-US"/>
        </w:rPr>
        <w:instrText xml:space="preserve"> AUTONUM  \* Arabic \s . </w:instrText>
      </w:r>
      <w:r w:rsidRPr="00B05B98">
        <w:rPr>
          <w:rFonts w:eastAsia="Calibri" w:cs="Arial"/>
          <w:sz w:val="22"/>
          <w:szCs w:val="22"/>
          <w:lang w:eastAsia="en-US"/>
        </w:rPr>
        <w:fldChar w:fldCharType="end"/>
      </w:r>
    </w:p>
    <w:p w14:paraId="1CA24413" w14:textId="77777777" w:rsidR="00B05B98" w:rsidRPr="00B05B98" w:rsidRDefault="00B05B98" w:rsidP="00B05B98">
      <w:pPr>
        <w:spacing w:after="120" w:line="264" w:lineRule="auto"/>
        <w:jc w:val="both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Ova Odluka objaviti će se u „Službenim novinama Grada Kraljevice“, a stupa na snagu 1. siječnja 2026. godine.</w:t>
      </w:r>
    </w:p>
    <w:p w14:paraId="181A598F" w14:textId="77777777" w:rsidR="00B05B98" w:rsidRPr="00B05B98" w:rsidRDefault="00B05B98" w:rsidP="00B05B98">
      <w:pPr>
        <w:spacing w:after="120" w:line="264" w:lineRule="auto"/>
        <w:contextualSpacing/>
        <w:rPr>
          <w:rFonts w:eastAsia="Calibri" w:cs="Arial"/>
          <w:sz w:val="22"/>
          <w:szCs w:val="22"/>
          <w:lang w:eastAsia="en-US"/>
        </w:rPr>
      </w:pPr>
    </w:p>
    <w:p w14:paraId="45EA6F75" w14:textId="77777777" w:rsidR="00B05B98" w:rsidRPr="00B05B98" w:rsidRDefault="00B05B98" w:rsidP="00B05B98">
      <w:pPr>
        <w:spacing w:after="120" w:line="264" w:lineRule="auto"/>
        <w:contextualSpacing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 xml:space="preserve">KLASA:    </w:t>
      </w:r>
    </w:p>
    <w:p w14:paraId="4DC2B14C" w14:textId="77777777" w:rsidR="00B05B98" w:rsidRPr="00B05B98" w:rsidRDefault="00B05B98" w:rsidP="00B05B98">
      <w:pPr>
        <w:spacing w:after="120" w:line="264" w:lineRule="auto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URBROJ: 2170-8-05-25-</w:t>
      </w:r>
    </w:p>
    <w:p w14:paraId="411889A0" w14:textId="77777777" w:rsidR="00B05B98" w:rsidRPr="00B05B98" w:rsidRDefault="00B05B98" w:rsidP="00B05B98">
      <w:pPr>
        <w:spacing w:after="120" w:line="264" w:lineRule="auto"/>
        <w:contextualSpacing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U Kraljevici, ______________ 2025.</w:t>
      </w:r>
    </w:p>
    <w:p w14:paraId="656490DF" w14:textId="77777777" w:rsidR="00B05B98" w:rsidRPr="00B05B98" w:rsidRDefault="00B05B98" w:rsidP="00B05B98">
      <w:pPr>
        <w:spacing w:after="120" w:line="264" w:lineRule="auto"/>
        <w:contextualSpacing/>
        <w:rPr>
          <w:rFonts w:eastAsia="Calibri" w:cs="Arial"/>
          <w:b/>
          <w:sz w:val="22"/>
          <w:szCs w:val="22"/>
          <w:lang w:eastAsia="en-US"/>
        </w:rPr>
      </w:pPr>
    </w:p>
    <w:p w14:paraId="5E169B5E" w14:textId="77777777" w:rsidR="00B05B98" w:rsidRPr="00B05B98" w:rsidRDefault="00B05B98" w:rsidP="00B05B98">
      <w:pPr>
        <w:spacing w:after="120" w:line="264" w:lineRule="auto"/>
        <w:contextualSpacing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GRADSKO VIJEĆE GRADA KRALJEVICE</w:t>
      </w:r>
    </w:p>
    <w:p w14:paraId="2453559E" w14:textId="77777777" w:rsidR="00B05B98" w:rsidRPr="00B05B98" w:rsidRDefault="00B05B98" w:rsidP="00B05B98">
      <w:pPr>
        <w:spacing w:after="120" w:line="264" w:lineRule="auto"/>
        <w:contextualSpacing/>
        <w:jc w:val="center"/>
        <w:rPr>
          <w:rFonts w:eastAsia="Calibri" w:cs="Arial"/>
          <w:sz w:val="22"/>
          <w:szCs w:val="22"/>
          <w:lang w:eastAsia="en-US"/>
        </w:rPr>
      </w:pPr>
      <w:r w:rsidRPr="00B05B98">
        <w:rPr>
          <w:rFonts w:eastAsia="Calibri" w:cs="Arial"/>
          <w:sz w:val="22"/>
          <w:szCs w:val="22"/>
          <w:lang w:eastAsia="en-US"/>
        </w:rPr>
        <w:t>PREDSJEDNIK</w:t>
      </w:r>
    </w:p>
    <w:p w14:paraId="2C085A87" w14:textId="77777777" w:rsidR="00B05B98" w:rsidRPr="00B05B98" w:rsidRDefault="00B05B98" w:rsidP="00B05B98">
      <w:pPr>
        <w:spacing w:after="120" w:line="264" w:lineRule="auto"/>
        <w:contextualSpacing/>
        <w:jc w:val="center"/>
        <w:rPr>
          <w:rFonts w:ascii="Calibri" w:eastAsia="Calibri" w:hAnsi="Calibri" w:cs="Arial"/>
          <w:bCs/>
          <w:sz w:val="22"/>
          <w:szCs w:val="22"/>
          <w:lang w:eastAsia="en-US"/>
        </w:rPr>
      </w:pPr>
      <w:r w:rsidRPr="00B05B98">
        <w:rPr>
          <w:rFonts w:eastAsia="Calibri" w:cs="Arial"/>
          <w:bCs/>
          <w:sz w:val="22"/>
          <w:szCs w:val="22"/>
          <w:lang w:eastAsia="en-US"/>
        </w:rPr>
        <w:t>Božidar Sotošek</w:t>
      </w:r>
    </w:p>
    <w:p w14:paraId="5785B57F" w14:textId="77777777" w:rsidR="00B05B98" w:rsidRPr="00B05B98" w:rsidRDefault="00B05B98" w:rsidP="00B05B98">
      <w:pPr>
        <w:spacing w:after="120" w:line="264" w:lineRule="auto"/>
        <w:contextualSpacing/>
        <w:rPr>
          <w:rFonts w:ascii="Calibri" w:eastAsia="Calibri" w:hAnsi="Calibri" w:cs="Arial"/>
          <w:sz w:val="22"/>
          <w:szCs w:val="22"/>
          <w:lang w:eastAsia="en-US"/>
        </w:rPr>
      </w:pPr>
    </w:p>
    <w:p w14:paraId="6DC0822C" w14:textId="3F90BBC7" w:rsidR="00B05B98" w:rsidRPr="00B05B98" w:rsidRDefault="00B05B98" w:rsidP="00B05B98">
      <w:pPr>
        <w:spacing w:after="200" w:line="276" w:lineRule="auto"/>
        <w:rPr>
          <w:rFonts w:eastAsia="Calibri" w:cs="Arial"/>
          <w:sz w:val="22"/>
          <w:szCs w:val="22"/>
          <w:lang w:eastAsia="en-US"/>
        </w:rPr>
      </w:pPr>
    </w:p>
    <w:sectPr w:rsidR="00B05B98" w:rsidRPr="00B05B98" w:rsidSect="00584239">
      <w:pgSz w:w="11906" w:h="16838"/>
      <w:pgMar w:top="1134" w:right="1418" w:bottom="1134" w:left="11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43B5E"/>
    <w:multiLevelType w:val="hybridMultilevel"/>
    <w:tmpl w:val="79ECEF52"/>
    <w:lvl w:ilvl="0" w:tplc="4E7C6E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70067"/>
    <w:multiLevelType w:val="hybridMultilevel"/>
    <w:tmpl w:val="4FE0BA14"/>
    <w:lvl w:ilvl="0" w:tplc="041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4614C43"/>
    <w:multiLevelType w:val="hybridMultilevel"/>
    <w:tmpl w:val="8DBA86E2"/>
    <w:lvl w:ilvl="0" w:tplc="87181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04077">
    <w:abstractNumId w:val="2"/>
  </w:num>
  <w:num w:numId="2" w16cid:durableId="504170090">
    <w:abstractNumId w:val="0"/>
  </w:num>
  <w:num w:numId="3" w16cid:durableId="750855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5D7"/>
    <w:rsid w:val="00001DA5"/>
    <w:rsid w:val="00065C59"/>
    <w:rsid w:val="00066F30"/>
    <w:rsid w:val="00072F04"/>
    <w:rsid w:val="00085379"/>
    <w:rsid w:val="00087159"/>
    <w:rsid w:val="000D66B1"/>
    <w:rsid w:val="000E696A"/>
    <w:rsid w:val="001476E7"/>
    <w:rsid w:val="001A05D7"/>
    <w:rsid w:val="002A60C0"/>
    <w:rsid w:val="002B7514"/>
    <w:rsid w:val="002E587C"/>
    <w:rsid w:val="002F53EA"/>
    <w:rsid w:val="003014DE"/>
    <w:rsid w:val="00322FA7"/>
    <w:rsid w:val="00344795"/>
    <w:rsid w:val="00360695"/>
    <w:rsid w:val="003B6B9C"/>
    <w:rsid w:val="003B6E4B"/>
    <w:rsid w:val="004115E0"/>
    <w:rsid w:val="0042703D"/>
    <w:rsid w:val="00433CAB"/>
    <w:rsid w:val="00473158"/>
    <w:rsid w:val="004E6E4A"/>
    <w:rsid w:val="004F5380"/>
    <w:rsid w:val="00500333"/>
    <w:rsid w:val="00514263"/>
    <w:rsid w:val="00584239"/>
    <w:rsid w:val="005A4242"/>
    <w:rsid w:val="005D4A2F"/>
    <w:rsid w:val="005F3FBC"/>
    <w:rsid w:val="006403A7"/>
    <w:rsid w:val="00660C67"/>
    <w:rsid w:val="006673CC"/>
    <w:rsid w:val="00676970"/>
    <w:rsid w:val="00681D6A"/>
    <w:rsid w:val="006A6198"/>
    <w:rsid w:val="006B6DD6"/>
    <w:rsid w:val="006C1A98"/>
    <w:rsid w:val="006F5CF8"/>
    <w:rsid w:val="00716E8A"/>
    <w:rsid w:val="0074070A"/>
    <w:rsid w:val="007A2EF9"/>
    <w:rsid w:val="008072AC"/>
    <w:rsid w:val="008502E8"/>
    <w:rsid w:val="00866D99"/>
    <w:rsid w:val="0087545D"/>
    <w:rsid w:val="008C1173"/>
    <w:rsid w:val="00900E7A"/>
    <w:rsid w:val="00901364"/>
    <w:rsid w:val="009424CC"/>
    <w:rsid w:val="009920C7"/>
    <w:rsid w:val="00996BD8"/>
    <w:rsid w:val="009A4FA2"/>
    <w:rsid w:val="009B1396"/>
    <w:rsid w:val="00A22B9D"/>
    <w:rsid w:val="00A427ED"/>
    <w:rsid w:val="00A43ABA"/>
    <w:rsid w:val="00A839F9"/>
    <w:rsid w:val="00A927DB"/>
    <w:rsid w:val="00A96F26"/>
    <w:rsid w:val="00B05B98"/>
    <w:rsid w:val="00B83086"/>
    <w:rsid w:val="00B92891"/>
    <w:rsid w:val="00BB6AE0"/>
    <w:rsid w:val="00C451BA"/>
    <w:rsid w:val="00CD2B37"/>
    <w:rsid w:val="00CD731E"/>
    <w:rsid w:val="00CF52E8"/>
    <w:rsid w:val="00CF7220"/>
    <w:rsid w:val="00D04D00"/>
    <w:rsid w:val="00D125A7"/>
    <w:rsid w:val="00D53772"/>
    <w:rsid w:val="00D66988"/>
    <w:rsid w:val="00D761D9"/>
    <w:rsid w:val="00D9536E"/>
    <w:rsid w:val="00DB54D3"/>
    <w:rsid w:val="00DD42D5"/>
    <w:rsid w:val="00DE12AB"/>
    <w:rsid w:val="00DF45FD"/>
    <w:rsid w:val="00E10A54"/>
    <w:rsid w:val="00E37A59"/>
    <w:rsid w:val="00E629E5"/>
    <w:rsid w:val="00E76CCC"/>
    <w:rsid w:val="00EE2A1A"/>
    <w:rsid w:val="00F21A95"/>
    <w:rsid w:val="00F44A62"/>
    <w:rsid w:val="00F45139"/>
    <w:rsid w:val="00F53E8E"/>
    <w:rsid w:val="00F8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0C30"/>
  <w15:docId w15:val="{77901DDC-475F-4D44-810C-BF53FED0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5D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A05D7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59"/>
    <w:rsid w:val="00B05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9</Pages>
  <Words>2602</Words>
  <Characters>14834</Characters>
  <Application>Microsoft Office Word</Application>
  <DocSecurity>0</DocSecurity>
  <Lines>123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Ermina</dc:creator>
  <cp:lastModifiedBy>Ana Prodan</cp:lastModifiedBy>
  <cp:revision>28</cp:revision>
  <cp:lastPrinted>2017-02-07T08:31:00Z</cp:lastPrinted>
  <dcterms:created xsi:type="dcterms:W3CDTF">2018-07-12T12:23:00Z</dcterms:created>
  <dcterms:modified xsi:type="dcterms:W3CDTF">2025-11-19T08:38:00Z</dcterms:modified>
</cp:coreProperties>
</file>